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6E0AC5" w:rsidRDefault="006E0AC5" w:rsidP="006E0AC5">
      <w:pPr>
        <w:pStyle w:val="Heading1"/>
        <w:ind w:left="0" w:firstLine="0"/>
        <w:rPr>
          <w:rFonts w:asciiTheme="majorHAnsi" w:hAnsiTheme="majorHAnsi"/>
          <w:b w:val="0"/>
          <w:bCs w:val="0"/>
          <w:color w:val="002060"/>
        </w:rPr>
      </w:pPr>
    </w:p>
    <w:p w:rsidR="00A81088" w:rsidRPr="006E0AC5" w:rsidRDefault="005E44EF" w:rsidP="006E0AC5">
      <w:pPr>
        <w:pStyle w:val="Heading1"/>
        <w:ind w:left="0" w:firstLine="0"/>
        <w:rPr>
          <w:rFonts w:asciiTheme="majorHAnsi" w:hAnsiTheme="majorHAnsi"/>
          <w:color w:val="002060"/>
        </w:rPr>
      </w:pPr>
      <w:r w:rsidRPr="006E0AC5">
        <w:rPr>
          <w:rFonts w:asciiTheme="majorHAnsi" w:hAnsiTheme="majorHAnsi"/>
          <w:color w:val="002060"/>
        </w:rPr>
        <w:t>ARCHIVAL POLICY FOR ANY MATERIAL EVENT / INFORMATION DISCLOSED TO THE STOCK EXCHANGE</w:t>
      </w:r>
    </w:p>
    <w:p w:rsidR="00A81088" w:rsidRPr="006E0AC5" w:rsidRDefault="00A81088" w:rsidP="006E0AC5">
      <w:pPr>
        <w:pStyle w:val="BodyText"/>
        <w:rPr>
          <w:rFonts w:asciiTheme="majorHAnsi" w:hAnsiTheme="majorHAnsi"/>
          <w:b/>
          <w:color w:val="002060"/>
        </w:rPr>
      </w:pPr>
    </w:p>
    <w:p w:rsidR="00A81088" w:rsidRPr="006E0AC5" w:rsidRDefault="005E44EF" w:rsidP="006E0AC5">
      <w:pPr>
        <w:pStyle w:val="ListParagraph"/>
        <w:numPr>
          <w:ilvl w:val="0"/>
          <w:numId w:val="1"/>
        </w:numPr>
        <w:tabs>
          <w:tab w:val="left" w:pos="385"/>
        </w:tabs>
        <w:ind w:left="0" w:firstLine="0"/>
        <w:rPr>
          <w:rFonts w:asciiTheme="majorHAnsi" w:hAnsiTheme="majorHAnsi"/>
          <w:b/>
          <w:color w:val="002060"/>
          <w:sz w:val="24"/>
          <w:szCs w:val="24"/>
        </w:rPr>
      </w:pPr>
      <w:r w:rsidRPr="006E0AC5">
        <w:rPr>
          <w:rFonts w:asciiTheme="majorHAnsi" w:hAnsiTheme="majorHAnsi"/>
          <w:b/>
          <w:color w:val="002060"/>
          <w:sz w:val="24"/>
          <w:szCs w:val="24"/>
        </w:rPr>
        <w:t>Preface</w:t>
      </w:r>
    </w:p>
    <w:p w:rsidR="00A81088" w:rsidRPr="006E0AC5" w:rsidRDefault="00A81088" w:rsidP="006E0AC5">
      <w:pPr>
        <w:pStyle w:val="BodyText"/>
        <w:rPr>
          <w:rFonts w:asciiTheme="majorHAnsi" w:hAnsiTheme="majorHAnsi"/>
          <w:b/>
          <w:color w:val="002060"/>
        </w:rPr>
      </w:pPr>
    </w:p>
    <w:p w:rsidR="00A81088" w:rsidRPr="006E0AC5" w:rsidRDefault="005E44EF" w:rsidP="006E0AC5">
      <w:pPr>
        <w:pStyle w:val="BodyText"/>
        <w:jc w:val="both"/>
        <w:rPr>
          <w:rFonts w:asciiTheme="majorHAnsi" w:hAnsiTheme="majorHAnsi"/>
          <w:color w:val="002060"/>
        </w:rPr>
      </w:pPr>
      <w:r w:rsidRPr="006E0AC5">
        <w:rPr>
          <w:rFonts w:asciiTheme="majorHAnsi" w:hAnsiTheme="majorHAnsi"/>
          <w:color w:val="002060"/>
        </w:rPr>
        <w:t>The Boar</w:t>
      </w:r>
      <w:r w:rsidR="00C83B18" w:rsidRPr="006E0AC5">
        <w:rPr>
          <w:rFonts w:asciiTheme="majorHAnsi" w:hAnsiTheme="majorHAnsi"/>
          <w:color w:val="002060"/>
        </w:rPr>
        <w:t xml:space="preserve">d of Directors (the “Board”) of </w:t>
      </w:r>
      <w:r w:rsidR="00C83B18" w:rsidRPr="006E0AC5">
        <w:rPr>
          <w:rFonts w:asciiTheme="majorHAnsi" w:hAnsiTheme="majorHAnsi"/>
          <w:b/>
          <w:color w:val="002060"/>
        </w:rPr>
        <w:t>MAYUKH DEALTRADE</w:t>
      </w:r>
      <w:r w:rsidR="00A56CF0" w:rsidRPr="006E0AC5">
        <w:rPr>
          <w:rFonts w:asciiTheme="majorHAnsi" w:hAnsiTheme="majorHAnsi"/>
          <w:b/>
          <w:color w:val="002060"/>
        </w:rPr>
        <w:t xml:space="preserve"> LIMITED </w:t>
      </w:r>
      <w:r w:rsidRPr="006E0AC5">
        <w:rPr>
          <w:rFonts w:asciiTheme="majorHAnsi" w:hAnsiTheme="majorHAnsi"/>
          <w:color w:val="002060"/>
        </w:rPr>
        <w:t>(the “Company”) has adopted the following Archival Policy with regard to any Material Events or Information in terms of Regulation 30 of the Securities Exchange Board of India (Listing Obligations and Disclosure Requirements) Regulations, 2015 (Listing Regulations) which are disclosed to the Stock Exchange in terms of the Company’s Policy for Determination of Materiality of any Event and Information.</w:t>
      </w:r>
    </w:p>
    <w:p w:rsidR="00A81088" w:rsidRPr="006E0AC5" w:rsidRDefault="00A81088" w:rsidP="006E0AC5">
      <w:pPr>
        <w:pStyle w:val="BodyText"/>
        <w:rPr>
          <w:rFonts w:asciiTheme="majorHAnsi" w:hAnsiTheme="majorHAnsi"/>
          <w:color w:val="002060"/>
        </w:rPr>
      </w:pPr>
    </w:p>
    <w:p w:rsidR="00A81088" w:rsidRPr="006E0AC5" w:rsidRDefault="005E44EF" w:rsidP="006E0AC5">
      <w:pPr>
        <w:pStyle w:val="Heading1"/>
        <w:numPr>
          <w:ilvl w:val="0"/>
          <w:numId w:val="1"/>
        </w:numPr>
        <w:tabs>
          <w:tab w:val="left" w:pos="385"/>
        </w:tabs>
        <w:ind w:left="0" w:firstLine="0"/>
        <w:rPr>
          <w:rFonts w:asciiTheme="majorHAnsi" w:hAnsiTheme="majorHAnsi"/>
          <w:color w:val="002060"/>
        </w:rPr>
      </w:pPr>
      <w:r w:rsidRPr="006E0AC5">
        <w:rPr>
          <w:rFonts w:asciiTheme="majorHAnsi" w:hAnsiTheme="majorHAnsi"/>
          <w:color w:val="002060"/>
        </w:rPr>
        <w:t>Purpose of the Policy</w:t>
      </w:r>
    </w:p>
    <w:p w:rsidR="00A81088" w:rsidRPr="006E0AC5" w:rsidRDefault="00A81088" w:rsidP="006E0AC5">
      <w:pPr>
        <w:pStyle w:val="BodyText"/>
        <w:rPr>
          <w:rFonts w:asciiTheme="majorHAnsi" w:hAnsiTheme="majorHAnsi"/>
          <w:b/>
          <w:color w:val="002060"/>
        </w:rPr>
      </w:pPr>
    </w:p>
    <w:p w:rsidR="00A81088" w:rsidRPr="006E0AC5" w:rsidRDefault="005E44EF" w:rsidP="006E0AC5">
      <w:pPr>
        <w:pStyle w:val="BodyText"/>
        <w:jc w:val="both"/>
        <w:rPr>
          <w:rFonts w:asciiTheme="majorHAnsi" w:hAnsiTheme="majorHAnsi"/>
          <w:color w:val="002060"/>
        </w:rPr>
      </w:pPr>
      <w:r w:rsidRPr="006E0AC5">
        <w:rPr>
          <w:rFonts w:asciiTheme="majorHAnsi" w:hAnsiTheme="majorHAnsi"/>
          <w:color w:val="002060"/>
        </w:rPr>
        <w:t>The purpose of this Policy is to archive any of the material events or information which is disclosed by the Company to the Stock Exchange for a period of five years.</w:t>
      </w:r>
    </w:p>
    <w:p w:rsidR="00A81088" w:rsidRPr="006E0AC5" w:rsidRDefault="00A81088" w:rsidP="006E0AC5">
      <w:pPr>
        <w:pStyle w:val="BodyText"/>
        <w:rPr>
          <w:rFonts w:asciiTheme="majorHAnsi" w:hAnsiTheme="majorHAnsi"/>
          <w:color w:val="002060"/>
        </w:rPr>
      </w:pPr>
    </w:p>
    <w:p w:rsidR="00A81088" w:rsidRPr="006E0AC5" w:rsidRDefault="005E44EF" w:rsidP="006E0AC5">
      <w:pPr>
        <w:pStyle w:val="Heading1"/>
        <w:numPr>
          <w:ilvl w:val="0"/>
          <w:numId w:val="1"/>
        </w:numPr>
        <w:tabs>
          <w:tab w:val="left" w:pos="385"/>
        </w:tabs>
        <w:ind w:left="0" w:firstLine="0"/>
        <w:rPr>
          <w:rFonts w:asciiTheme="majorHAnsi" w:hAnsiTheme="majorHAnsi"/>
          <w:color w:val="002060"/>
        </w:rPr>
      </w:pPr>
      <w:r w:rsidRPr="006E0AC5">
        <w:rPr>
          <w:rFonts w:asciiTheme="majorHAnsi" w:hAnsiTheme="majorHAnsi"/>
          <w:color w:val="002060"/>
        </w:rPr>
        <w:t>Policy:</w:t>
      </w:r>
    </w:p>
    <w:p w:rsidR="00A81088" w:rsidRPr="006E0AC5" w:rsidRDefault="00A81088" w:rsidP="006E0AC5">
      <w:pPr>
        <w:pStyle w:val="BodyText"/>
        <w:rPr>
          <w:rFonts w:asciiTheme="majorHAnsi" w:hAnsiTheme="majorHAnsi"/>
          <w:b/>
          <w:color w:val="002060"/>
        </w:rPr>
      </w:pPr>
    </w:p>
    <w:p w:rsidR="00A81088" w:rsidRPr="006E0AC5" w:rsidRDefault="005E44EF" w:rsidP="006E0AC5">
      <w:pPr>
        <w:pStyle w:val="BodyText"/>
        <w:jc w:val="both"/>
        <w:rPr>
          <w:rFonts w:asciiTheme="majorHAnsi" w:hAnsiTheme="majorHAnsi"/>
          <w:color w:val="002060"/>
        </w:rPr>
      </w:pPr>
      <w:r w:rsidRPr="006E0AC5">
        <w:rPr>
          <w:rFonts w:asciiTheme="majorHAnsi" w:hAnsiTheme="majorHAnsi"/>
          <w:color w:val="002060"/>
        </w:rPr>
        <w:t>Any disclosure of events or information which has been submitted by the Company to the Stock Exchange under Regulation 30 of the Listing Regulations and Policy of the Company (Disclosed Information) will be available on the website of the Company for a period of five years from the date of its disclosure. Disclosed Information which is over five years old will be archived from the website of the Company. Anyone intending to review this disclosed information may write to the Compliance Officer of the Company.</w:t>
      </w:r>
    </w:p>
    <w:p w:rsidR="00A81088" w:rsidRPr="006E0AC5" w:rsidRDefault="00A81088" w:rsidP="006E0AC5">
      <w:pPr>
        <w:pStyle w:val="BodyText"/>
        <w:rPr>
          <w:rFonts w:asciiTheme="majorHAnsi" w:hAnsiTheme="majorHAnsi"/>
          <w:color w:val="002060"/>
        </w:rPr>
      </w:pPr>
    </w:p>
    <w:p w:rsidR="00A81088" w:rsidRPr="006E0AC5" w:rsidRDefault="005E44EF" w:rsidP="006E0AC5">
      <w:pPr>
        <w:pStyle w:val="Heading1"/>
        <w:numPr>
          <w:ilvl w:val="0"/>
          <w:numId w:val="1"/>
        </w:numPr>
        <w:tabs>
          <w:tab w:val="left" w:pos="385"/>
        </w:tabs>
        <w:ind w:left="0" w:firstLine="0"/>
        <w:rPr>
          <w:rFonts w:asciiTheme="majorHAnsi" w:hAnsiTheme="majorHAnsi"/>
          <w:color w:val="002060"/>
        </w:rPr>
      </w:pPr>
      <w:r w:rsidRPr="006E0AC5">
        <w:rPr>
          <w:rFonts w:asciiTheme="majorHAnsi" w:hAnsiTheme="majorHAnsi"/>
          <w:color w:val="002060"/>
        </w:rPr>
        <w:t>Communication of this</w:t>
      </w:r>
      <w:r w:rsidRPr="006E0AC5">
        <w:rPr>
          <w:rFonts w:asciiTheme="majorHAnsi" w:hAnsiTheme="majorHAnsi"/>
          <w:color w:val="002060"/>
          <w:spacing w:val="1"/>
        </w:rPr>
        <w:t xml:space="preserve"> </w:t>
      </w:r>
      <w:r w:rsidRPr="006E0AC5">
        <w:rPr>
          <w:rFonts w:asciiTheme="majorHAnsi" w:hAnsiTheme="majorHAnsi"/>
          <w:color w:val="002060"/>
        </w:rPr>
        <w:t>Policy:</w:t>
      </w:r>
    </w:p>
    <w:p w:rsidR="00A81088" w:rsidRPr="006E0AC5" w:rsidRDefault="00A81088" w:rsidP="006E0AC5">
      <w:pPr>
        <w:pStyle w:val="BodyText"/>
        <w:rPr>
          <w:rFonts w:asciiTheme="majorHAnsi" w:hAnsiTheme="majorHAnsi"/>
          <w:b/>
          <w:color w:val="002060"/>
        </w:rPr>
      </w:pPr>
    </w:p>
    <w:p w:rsidR="00A81088" w:rsidRPr="006E0AC5" w:rsidRDefault="005E44EF" w:rsidP="006E0AC5">
      <w:pPr>
        <w:pStyle w:val="BodyText"/>
        <w:jc w:val="both"/>
        <w:rPr>
          <w:rFonts w:asciiTheme="majorHAnsi" w:hAnsiTheme="majorHAnsi"/>
          <w:color w:val="002060"/>
        </w:rPr>
      </w:pPr>
      <w:r w:rsidRPr="006E0AC5">
        <w:rPr>
          <w:rFonts w:asciiTheme="majorHAnsi" w:hAnsiTheme="majorHAnsi"/>
          <w:color w:val="002060"/>
        </w:rPr>
        <w:t>For all new employees and Directors, a copy of this Policy shall be handed over as a part of the joining documentation, along with other HR related policies. For all existing employees and Directors, a copy of this Policy shall be handed over within one month of the adoption of this Policy by the Board of Directors of the Company. This Policy shall also be posted on the Website of the Company.</w:t>
      </w:r>
    </w:p>
    <w:p w:rsidR="00A81088" w:rsidRPr="006E0AC5" w:rsidRDefault="00A81088" w:rsidP="006E0AC5">
      <w:pPr>
        <w:pStyle w:val="BodyText"/>
        <w:rPr>
          <w:rFonts w:asciiTheme="majorHAnsi" w:hAnsiTheme="majorHAnsi"/>
          <w:color w:val="002060"/>
        </w:rPr>
      </w:pPr>
    </w:p>
    <w:p w:rsidR="00A81088" w:rsidRPr="006E0AC5" w:rsidRDefault="005E44EF" w:rsidP="006E0AC5">
      <w:pPr>
        <w:pStyle w:val="Heading1"/>
        <w:numPr>
          <w:ilvl w:val="0"/>
          <w:numId w:val="1"/>
        </w:numPr>
        <w:tabs>
          <w:tab w:val="left" w:pos="385"/>
        </w:tabs>
        <w:ind w:left="0" w:firstLine="0"/>
        <w:rPr>
          <w:rFonts w:asciiTheme="majorHAnsi" w:hAnsiTheme="majorHAnsi"/>
          <w:color w:val="002060"/>
        </w:rPr>
      </w:pPr>
      <w:r w:rsidRPr="006E0AC5">
        <w:rPr>
          <w:rFonts w:asciiTheme="majorHAnsi" w:hAnsiTheme="majorHAnsi"/>
          <w:color w:val="002060"/>
        </w:rPr>
        <w:t>Amendment:</w:t>
      </w:r>
    </w:p>
    <w:p w:rsidR="00A81088" w:rsidRPr="006E0AC5" w:rsidRDefault="00A81088" w:rsidP="006E0AC5">
      <w:pPr>
        <w:pStyle w:val="BodyText"/>
        <w:rPr>
          <w:rFonts w:asciiTheme="majorHAnsi" w:hAnsiTheme="majorHAnsi"/>
          <w:b/>
          <w:color w:val="002060"/>
        </w:rPr>
      </w:pPr>
    </w:p>
    <w:p w:rsidR="00A81088" w:rsidRPr="006E0AC5" w:rsidRDefault="005E44EF" w:rsidP="006E0AC5">
      <w:pPr>
        <w:pStyle w:val="BodyText"/>
        <w:jc w:val="both"/>
        <w:rPr>
          <w:rFonts w:asciiTheme="majorHAnsi" w:hAnsiTheme="majorHAnsi"/>
          <w:color w:val="002060"/>
        </w:rPr>
      </w:pPr>
      <w:r w:rsidRPr="006E0AC5">
        <w:rPr>
          <w:rFonts w:asciiTheme="majorHAnsi" w:hAnsiTheme="majorHAnsi"/>
          <w:color w:val="002060"/>
        </w:rPr>
        <w:t>Any change in the Policy shall be approved by the Board of Directors of the Company. The Board of Directors shall have the right to withdraw and / or amend any part of this Policy or the entire Policy, at any time, as it deems fit, or from time to time, and the decision of the Board in this respect shall be final and binding.</w:t>
      </w:r>
    </w:p>
    <w:sectPr w:rsidR="00A81088" w:rsidRPr="006E0AC5" w:rsidSect="006E0AC5">
      <w:headerReference w:type="even" r:id="rId7"/>
      <w:headerReference w:type="default" r:id="rId8"/>
      <w:footerReference w:type="even" r:id="rId9"/>
      <w:footerReference w:type="default" r:id="rId10"/>
      <w:headerReference w:type="first" r:id="rId11"/>
      <w:footerReference w:type="first" r:id="rId12"/>
      <w:type w:val="continuous"/>
      <w:pgSz w:w="11910" w:h="16840"/>
      <w:pgMar w:top="1360" w:right="1300" w:bottom="280" w:left="1300" w:header="720" w:footer="720" w:gutter="0"/>
      <w:pgBorders w:offsetFrom="page">
        <w:top w:val="single" w:sz="36" w:space="25" w:color="000000"/>
        <w:left w:val="single" w:sz="36" w:space="25" w:color="000000"/>
        <w:bottom w:val="single" w:sz="36" w:space="25" w:color="000000"/>
        <w:right w:val="single" w:sz="36" w:space="25"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C5" w:rsidRDefault="006E0AC5" w:rsidP="006E0AC5">
      <w:r>
        <w:separator/>
      </w:r>
    </w:p>
  </w:endnote>
  <w:endnote w:type="continuationSeparator" w:id="0">
    <w:p w:rsidR="006E0AC5" w:rsidRDefault="006E0AC5" w:rsidP="006E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AC" w:rsidRDefault="00FA6C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AC" w:rsidRDefault="00FA6C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AC" w:rsidRDefault="00FA6C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C5" w:rsidRDefault="006E0AC5" w:rsidP="006E0AC5">
      <w:r>
        <w:separator/>
      </w:r>
    </w:p>
  </w:footnote>
  <w:footnote w:type="continuationSeparator" w:id="0">
    <w:p w:rsidR="006E0AC5" w:rsidRDefault="006E0AC5" w:rsidP="006E0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AC" w:rsidRDefault="00FA6C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C5" w:rsidRPr="006E0AC5" w:rsidRDefault="006E0AC5" w:rsidP="006E0AC5">
    <w:pPr>
      <w:ind w:left="-720" w:right="-680"/>
      <w:jc w:val="center"/>
      <w:rPr>
        <w:rFonts w:ascii="Berlin Sans FB Demi" w:hAnsi="Berlin Sans FB Demi"/>
        <w:color w:val="002060"/>
        <w:sz w:val="72"/>
        <w:szCs w:val="24"/>
      </w:rPr>
    </w:pPr>
    <w:r w:rsidRPr="006E0AC5">
      <w:rPr>
        <w:rFonts w:ascii="Berlin Sans FB Demi" w:hAnsi="Berlin Sans FB Demi"/>
        <w:color w:val="002060"/>
        <w:sz w:val="72"/>
        <w:szCs w:val="24"/>
      </w:rPr>
      <w:t>Mayukh Deal Trade Limited</w:t>
    </w:r>
  </w:p>
  <w:p w:rsidR="006E0AC5" w:rsidRPr="006E0AC5" w:rsidRDefault="006E0AC5" w:rsidP="006E0AC5">
    <w:pPr>
      <w:jc w:val="center"/>
      <w:rPr>
        <w:rFonts w:asciiTheme="majorHAnsi" w:hAnsiTheme="majorHAnsi"/>
        <w:color w:val="002060"/>
        <w:sz w:val="24"/>
        <w:szCs w:val="24"/>
      </w:rPr>
    </w:pPr>
    <w:r w:rsidRPr="006E0AC5">
      <w:rPr>
        <w:rFonts w:asciiTheme="majorHAnsi" w:hAnsiTheme="majorHAnsi"/>
        <w:color w:val="002060"/>
        <w:sz w:val="24"/>
        <w:szCs w:val="24"/>
      </w:rPr>
      <w:t xml:space="preserve">CIN: </w:t>
    </w:r>
    <w:r w:rsidR="00FA6CAC" w:rsidRPr="00FA6CAC">
      <w:rPr>
        <w:rFonts w:asciiTheme="majorHAnsi" w:hAnsiTheme="majorHAnsi"/>
        <w:color w:val="002060"/>
        <w:sz w:val="24"/>
        <w:szCs w:val="24"/>
      </w:rPr>
      <w:t>L51219MH1980PLC329224</w:t>
    </w:r>
    <w:bookmarkStart w:id="0" w:name="_GoBack"/>
    <w:bookmarkEnd w:id="0"/>
  </w:p>
  <w:p w:rsidR="006E0AC5" w:rsidRDefault="006E0AC5" w:rsidP="006E0AC5">
    <w:pPr>
      <w:pStyle w:val="Header"/>
      <w:jc w:val="center"/>
    </w:pPr>
    <w:r w:rsidRPr="006E0AC5">
      <w:rPr>
        <w:rFonts w:asciiTheme="majorHAnsi" w:hAnsiTheme="majorHAnsi"/>
        <w:color w:val="002060"/>
        <w:sz w:val="24"/>
        <w:szCs w:val="24"/>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AC" w:rsidRDefault="00FA6C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72F62"/>
    <w:multiLevelType w:val="hybridMultilevel"/>
    <w:tmpl w:val="3A22B4D4"/>
    <w:lvl w:ilvl="0" w:tplc="D1E84014">
      <w:start w:val="1"/>
      <w:numFmt w:val="decimal"/>
      <w:lvlText w:val="%1."/>
      <w:lvlJc w:val="left"/>
      <w:pPr>
        <w:ind w:left="384" w:hanging="245"/>
      </w:pPr>
      <w:rPr>
        <w:rFonts w:ascii="Times New Roman" w:eastAsia="Times New Roman" w:hAnsi="Times New Roman" w:cs="Times New Roman" w:hint="default"/>
        <w:b/>
        <w:bCs/>
        <w:w w:val="100"/>
        <w:sz w:val="24"/>
        <w:szCs w:val="24"/>
        <w:lang w:val="en-US" w:eastAsia="en-US" w:bidi="en-US"/>
      </w:rPr>
    </w:lvl>
    <w:lvl w:ilvl="1" w:tplc="A0F8CF5E">
      <w:numFmt w:val="bullet"/>
      <w:lvlText w:val="•"/>
      <w:lvlJc w:val="left"/>
      <w:pPr>
        <w:ind w:left="1272" w:hanging="245"/>
      </w:pPr>
      <w:rPr>
        <w:rFonts w:hint="default"/>
        <w:lang w:val="en-US" w:eastAsia="en-US" w:bidi="en-US"/>
      </w:rPr>
    </w:lvl>
    <w:lvl w:ilvl="2" w:tplc="097C415E">
      <w:numFmt w:val="bullet"/>
      <w:lvlText w:val="•"/>
      <w:lvlJc w:val="left"/>
      <w:pPr>
        <w:ind w:left="2164" w:hanging="245"/>
      </w:pPr>
      <w:rPr>
        <w:rFonts w:hint="default"/>
        <w:lang w:val="en-US" w:eastAsia="en-US" w:bidi="en-US"/>
      </w:rPr>
    </w:lvl>
    <w:lvl w:ilvl="3" w:tplc="48B82FD4">
      <w:numFmt w:val="bullet"/>
      <w:lvlText w:val="•"/>
      <w:lvlJc w:val="left"/>
      <w:pPr>
        <w:ind w:left="3057" w:hanging="245"/>
      </w:pPr>
      <w:rPr>
        <w:rFonts w:hint="default"/>
        <w:lang w:val="en-US" w:eastAsia="en-US" w:bidi="en-US"/>
      </w:rPr>
    </w:lvl>
    <w:lvl w:ilvl="4" w:tplc="4A60A8B2">
      <w:numFmt w:val="bullet"/>
      <w:lvlText w:val="•"/>
      <w:lvlJc w:val="left"/>
      <w:pPr>
        <w:ind w:left="3949" w:hanging="245"/>
      </w:pPr>
      <w:rPr>
        <w:rFonts w:hint="default"/>
        <w:lang w:val="en-US" w:eastAsia="en-US" w:bidi="en-US"/>
      </w:rPr>
    </w:lvl>
    <w:lvl w:ilvl="5" w:tplc="36223A88">
      <w:numFmt w:val="bullet"/>
      <w:lvlText w:val="•"/>
      <w:lvlJc w:val="left"/>
      <w:pPr>
        <w:ind w:left="4842" w:hanging="245"/>
      </w:pPr>
      <w:rPr>
        <w:rFonts w:hint="default"/>
        <w:lang w:val="en-US" w:eastAsia="en-US" w:bidi="en-US"/>
      </w:rPr>
    </w:lvl>
    <w:lvl w:ilvl="6" w:tplc="F0D01AB8">
      <w:numFmt w:val="bullet"/>
      <w:lvlText w:val="•"/>
      <w:lvlJc w:val="left"/>
      <w:pPr>
        <w:ind w:left="5734" w:hanging="245"/>
      </w:pPr>
      <w:rPr>
        <w:rFonts w:hint="default"/>
        <w:lang w:val="en-US" w:eastAsia="en-US" w:bidi="en-US"/>
      </w:rPr>
    </w:lvl>
    <w:lvl w:ilvl="7" w:tplc="7DB8865E">
      <w:numFmt w:val="bullet"/>
      <w:lvlText w:val="•"/>
      <w:lvlJc w:val="left"/>
      <w:pPr>
        <w:ind w:left="6626" w:hanging="245"/>
      </w:pPr>
      <w:rPr>
        <w:rFonts w:hint="default"/>
        <w:lang w:val="en-US" w:eastAsia="en-US" w:bidi="en-US"/>
      </w:rPr>
    </w:lvl>
    <w:lvl w:ilvl="8" w:tplc="2AB60E2E">
      <w:numFmt w:val="bullet"/>
      <w:lvlText w:val="•"/>
      <w:lvlJc w:val="left"/>
      <w:pPr>
        <w:ind w:left="7519" w:hanging="24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o:colormenu v:ext="edit" fillcolor="none [3214]"/>
    </o:shapedefaults>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81088"/>
    <w:rsid w:val="00414944"/>
    <w:rsid w:val="005905DF"/>
    <w:rsid w:val="005E44EF"/>
    <w:rsid w:val="006E0AC5"/>
    <w:rsid w:val="00766790"/>
    <w:rsid w:val="008631AE"/>
    <w:rsid w:val="00A56CF0"/>
    <w:rsid w:val="00A81088"/>
    <w:rsid w:val="00C83B18"/>
    <w:rsid w:val="00FA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4]"/>
    </o:shapedefaults>
    <o:shapelayout v:ext="edit">
      <o:idmap v:ext="edit" data="1"/>
    </o:shapelayout>
  </w:shapeDefaults>
  <w:decimalSymbol w:val="."/>
  <w:listSeparator w:val=","/>
  <w15:docId w15:val="{F4AC55A9-C623-42CD-95DB-02638BF5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1088"/>
    <w:rPr>
      <w:rFonts w:ascii="Times New Roman" w:eastAsia="Times New Roman" w:hAnsi="Times New Roman" w:cs="Times New Roman"/>
      <w:lang w:bidi="en-US"/>
    </w:rPr>
  </w:style>
  <w:style w:type="paragraph" w:styleId="Heading1">
    <w:name w:val="heading 1"/>
    <w:basedOn w:val="Normal"/>
    <w:uiPriority w:val="1"/>
    <w:qFormat/>
    <w:rsid w:val="00A81088"/>
    <w:pPr>
      <w:ind w:left="384" w:hanging="2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1088"/>
    <w:rPr>
      <w:sz w:val="24"/>
      <w:szCs w:val="24"/>
    </w:rPr>
  </w:style>
  <w:style w:type="paragraph" w:styleId="ListParagraph">
    <w:name w:val="List Paragraph"/>
    <w:basedOn w:val="Normal"/>
    <w:uiPriority w:val="1"/>
    <w:qFormat/>
    <w:rsid w:val="00A81088"/>
    <w:pPr>
      <w:ind w:left="384" w:hanging="246"/>
    </w:pPr>
  </w:style>
  <w:style w:type="paragraph" w:customStyle="1" w:styleId="TableParagraph">
    <w:name w:val="Table Paragraph"/>
    <w:basedOn w:val="Normal"/>
    <w:uiPriority w:val="1"/>
    <w:qFormat/>
    <w:rsid w:val="00A81088"/>
  </w:style>
  <w:style w:type="paragraph" w:styleId="Header">
    <w:name w:val="header"/>
    <w:basedOn w:val="Normal"/>
    <w:link w:val="HeaderChar"/>
    <w:uiPriority w:val="99"/>
    <w:unhideWhenUsed/>
    <w:rsid w:val="006E0AC5"/>
    <w:pPr>
      <w:tabs>
        <w:tab w:val="center" w:pos="4680"/>
        <w:tab w:val="right" w:pos="9360"/>
      </w:tabs>
    </w:pPr>
  </w:style>
  <w:style w:type="character" w:customStyle="1" w:styleId="HeaderChar">
    <w:name w:val="Header Char"/>
    <w:basedOn w:val="DefaultParagraphFont"/>
    <w:link w:val="Header"/>
    <w:uiPriority w:val="99"/>
    <w:rsid w:val="006E0AC5"/>
    <w:rPr>
      <w:rFonts w:ascii="Times New Roman" w:eastAsia="Times New Roman" w:hAnsi="Times New Roman" w:cs="Times New Roman"/>
      <w:lang w:bidi="en-US"/>
    </w:rPr>
  </w:style>
  <w:style w:type="paragraph" w:styleId="Footer">
    <w:name w:val="footer"/>
    <w:basedOn w:val="Normal"/>
    <w:link w:val="FooterChar"/>
    <w:uiPriority w:val="99"/>
    <w:unhideWhenUsed/>
    <w:rsid w:val="006E0AC5"/>
    <w:pPr>
      <w:tabs>
        <w:tab w:val="center" w:pos="4680"/>
        <w:tab w:val="right" w:pos="9360"/>
      </w:tabs>
    </w:pPr>
  </w:style>
  <w:style w:type="character" w:customStyle="1" w:styleId="FooterChar">
    <w:name w:val="Footer Char"/>
    <w:basedOn w:val="DefaultParagraphFont"/>
    <w:link w:val="Footer"/>
    <w:uiPriority w:val="99"/>
    <w:rsid w:val="006E0AC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9</cp:revision>
  <dcterms:created xsi:type="dcterms:W3CDTF">2019-02-28T10:44:00Z</dcterms:created>
  <dcterms:modified xsi:type="dcterms:W3CDTF">2023-03-13T12:24:00Z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Acrobat PDFMaker 11 for Word</vt:lpwstr>
  </property>
  <property fmtid="{D5CDD505-2E9C-101B-9397-08002B2CF9AE}" pid="4" name="LastSaved">
    <vt:filetime>2019-02-28T00:00:00Z</vt:filetime>
  </property>
</Properties>
</file>