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p w:rsidR="005616B1" w:rsidRPr="00371C8C" w:rsidRDefault="00904E7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pict>
          <v:group id="_x0000_s1065" style="position:absolute;left:0;text-align:left;margin-left:24pt;margin-top:24pt;width:547.2pt;height:793.95pt;z-index:-251846656;mso-position-horizontal-relative:page;mso-position-vertical-relative:page" coordorigin="480,480" coordsize="10944,15879">
            <v:rect id="_x0000_s1077" style="position:absolute;left:480;top:480;width:116;height:29" fillcolor="black" stroked="f"/>
            <v:line id="_x0000_s1076" style="position:absolute" from="595,494" to="11309,494" strokeweight="1.44pt"/>
            <v:line id="_x0000_s1075" style="position:absolute" from="595,566" to="11309,566" strokeweight="2.88pt"/>
            <v:rect id="_x0000_s1074" style="position:absolute;left:11308;top:480;width:116;height:29" fillcolor="black" stroked="f"/>
            <v:line id="_x0000_s1073" style="position:absolute" from="494,480" to="494,16243" strokeweight="1.44pt"/>
            <v:line id="_x0000_s1072" style="position:absolute" from="566,538" to="566,16243" strokeweight="2.88pt"/>
            <v:line id="_x0000_s1071" style="position:absolute" from="11410,480" to="11410,16243" strokeweight="1.44pt"/>
            <v:line id="_x0000_s1070" style="position:absolute" from="11338,538" to="11338,16243" strokeweight="2.88pt"/>
            <v:shape id="_x0000_s1069" style="position:absolute;left:480;top:16243;width:116;height:116" coordorigin="480,16243" coordsize="116,116" o:spt="100" adj="0,,0" path="m595,16330r-86,l509,16243r-29,l480,16330r,28l509,16358r86,l595,16330t,-87l538,16243r,58l595,16301r,-58e" fillcolor="black" stroked="f">
              <v:stroke joinstyle="round"/>
              <v:formulas/>
              <v:path arrowok="t" o:connecttype="segments"/>
            </v:shape>
            <v:line id="_x0000_s1068" style="position:absolute" from="595,16344" to="11309,16344" strokeweight="1.44pt"/>
            <v:line id="_x0000_s1067" style="position:absolute" from="595,16272" to="11309,16272" strokeweight="2.88pt"/>
            <v:shape id="_x0000_s1066" style="position:absolute;left:11308;top:16243;width:116;height:116" coordorigin="11309,16243" coordsize="116,116" o:spt="100" adj="0,,0" path="m11366,16243r-57,l11309,16301r57,l11366,16243t58,l11395,16243r,87l11309,16330r,28l11395,16358r29,l11424,16330r,-87e" fillcolor="black" stroked="f">
              <v:stroke joinstyle="round"/>
              <v:formulas/>
              <v:path arrowok="t" o:connecttype="segments"/>
            </v:shape>
            <w10:wrap anchorx="page" anchory="page"/>
          </v:group>
        </w:pict>
      </w: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5616B1" w:rsidP="00371C8C">
      <w:pPr>
        <w:pStyle w:val="BodyText"/>
        <w:spacing w:line="276" w:lineRule="auto"/>
        <w:jc w:val="both"/>
        <w:rPr>
          <w:rFonts w:ascii="Arial" w:hAnsi="Arial" w:cs="Arial"/>
          <w:color w:val="0070C0"/>
          <w:sz w:val="22"/>
          <w:szCs w:val="22"/>
        </w:rPr>
      </w:pPr>
    </w:p>
    <w:p w:rsidR="00371C8C" w:rsidRPr="00371C8C" w:rsidRDefault="00371C8C" w:rsidP="00756C7B">
      <w:pPr>
        <w:jc w:val="center"/>
        <w:rPr>
          <w:rFonts w:ascii="Century" w:hAnsi="Century" w:cs="Arial"/>
          <w:b/>
          <w:bCs/>
          <w:color w:val="948A54" w:themeColor="background2" w:themeShade="80"/>
          <w:sz w:val="144"/>
        </w:rPr>
      </w:pPr>
      <w:r w:rsidRPr="00371C8C">
        <w:rPr>
          <w:rFonts w:ascii="Century" w:hAnsi="Century" w:cs="Arial"/>
          <w:b/>
          <w:bCs/>
          <w:color w:val="948A54" w:themeColor="background2" w:themeShade="80"/>
          <w:sz w:val="160"/>
        </w:rPr>
        <w:t>Mayukh Dealtrade Limited</w:t>
      </w:r>
    </w:p>
    <w:p w:rsidR="00371C8C" w:rsidRDefault="00371C8C" w:rsidP="00756C7B">
      <w:pPr>
        <w:jc w:val="center"/>
        <w:rPr>
          <w:rFonts w:ascii="Berlin Sans FB Demi" w:hAnsi="Berlin Sans FB Demi" w:cs="Arial"/>
          <w:b/>
          <w:bCs/>
          <w:color w:val="0070C0"/>
          <w:sz w:val="92"/>
        </w:rPr>
      </w:pPr>
    </w:p>
    <w:p w:rsidR="005616B1" w:rsidRPr="00371C8C" w:rsidRDefault="00CA51F8" w:rsidP="00756C7B">
      <w:pPr>
        <w:jc w:val="center"/>
        <w:rPr>
          <w:rFonts w:ascii="Berlin Sans FB Demi" w:hAnsi="Berlin Sans FB Demi" w:cs="Arial"/>
          <w:b/>
          <w:color w:val="0070C0"/>
          <w:sz w:val="66"/>
        </w:rPr>
      </w:pPr>
      <w:r w:rsidRPr="00371C8C">
        <w:rPr>
          <w:rFonts w:ascii="Berlin Sans FB Demi" w:hAnsi="Berlin Sans FB Demi" w:cs="Arial"/>
          <w:b/>
          <w:bCs/>
          <w:color w:val="0070C0"/>
          <w:sz w:val="66"/>
        </w:rPr>
        <w:t>RE</w:t>
      </w:r>
      <w:r w:rsidR="003E2B3A" w:rsidRPr="00371C8C">
        <w:rPr>
          <w:rFonts w:ascii="Berlin Sans FB Demi" w:hAnsi="Berlin Sans FB Demi" w:cs="Arial"/>
          <w:b/>
          <w:color w:val="0070C0"/>
          <w:sz w:val="66"/>
        </w:rPr>
        <w:t>LATED PARTY TRANSACTION POLICY</w:t>
      </w:r>
    </w:p>
    <w:p w:rsidR="005616B1" w:rsidRPr="00371C8C" w:rsidRDefault="005616B1" w:rsidP="00371C8C">
      <w:pPr>
        <w:spacing w:line="276" w:lineRule="auto"/>
        <w:jc w:val="center"/>
        <w:rPr>
          <w:rFonts w:ascii="Berlin Sans FB Demi" w:hAnsi="Berlin Sans FB Demi" w:cs="Arial"/>
          <w:color w:val="0070C0"/>
          <w:sz w:val="92"/>
        </w:rPr>
        <w:sectPr w:rsidR="005616B1" w:rsidRPr="00371C8C" w:rsidSect="00371C8C">
          <w:headerReference w:type="default" r:id="rId7"/>
          <w:type w:val="continuous"/>
          <w:pgSz w:w="11910" w:h="16840" w:code="9"/>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299"/>
        </w:sectPr>
      </w:pPr>
    </w:p>
    <w:p w:rsidR="005616B1" w:rsidRDefault="00904E7C" w:rsidP="00371C8C">
      <w:pPr>
        <w:pStyle w:val="Heading2"/>
        <w:numPr>
          <w:ilvl w:val="0"/>
          <w:numId w:val="2"/>
        </w:numPr>
        <w:tabs>
          <w:tab w:val="left" w:pos="322"/>
        </w:tabs>
        <w:spacing w:line="276" w:lineRule="auto"/>
        <w:ind w:left="0" w:firstLine="0"/>
        <w:jc w:val="both"/>
        <w:rPr>
          <w:rFonts w:ascii="Arial" w:hAnsi="Arial" w:cs="Arial"/>
          <w:color w:val="0070C0"/>
          <w:sz w:val="22"/>
          <w:szCs w:val="22"/>
        </w:rPr>
      </w:pPr>
      <w:r w:rsidRPr="00371C8C">
        <w:rPr>
          <w:rFonts w:ascii="Arial" w:hAnsi="Arial" w:cs="Arial"/>
          <w:color w:val="0070C0"/>
          <w:sz w:val="22"/>
          <w:szCs w:val="22"/>
        </w:rPr>
        <w:lastRenderedPageBreak/>
        <w:pict>
          <v:group id="_x0000_s1052" style="position:absolute;left:0;text-align:left;margin-left:24pt;margin-top:24pt;width:547.2pt;height:793.95pt;z-index:-251845632;mso-position-horizontal-relative:page;mso-position-vertical-relative:page" coordorigin="480,480" coordsize="10944,15879">
            <v:rect id="_x0000_s1064" style="position:absolute;left:480;top:480;width:116;height:29" fillcolor="black" stroked="f"/>
            <v:line id="_x0000_s1063" style="position:absolute" from="595,494" to="11309,494" strokeweight="1.44pt"/>
            <v:line id="_x0000_s1062" style="position:absolute" from="595,566" to="11309,566" strokeweight="2.88pt"/>
            <v:rect id="_x0000_s1061" style="position:absolute;left:11308;top:480;width:116;height:29" fillcolor="black" stroked="f"/>
            <v:line id="_x0000_s1060" style="position:absolute" from="494,480" to="494,16243" strokeweight="1.44pt"/>
            <v:line id="_x0000_s1059" style="position:absolute" from="566,538" to="566,16243" strokeweight="2.88pt"/>
            <v:line id="_x0000_s1058" style="position:absolute" from="11410,480" to="11410,16243" strokeweight="1.44pt"/>
            <v:line id="_x0000_s1057" style="position:absolute" from="11338,538" to="11338,16243" strokeweight="2.88pt"/>
            <v:shape id="_x0000_s1056" style="position:absolute;left:480;top:16243;width:116;height:116" coordorigin="480,16243" coordsize="116,116" o:spt="100" adj="0,,0" path="m595,16330r-86,l509,16243r-29,l480,16330r,28l509,16358r86,l595,16330t,-87l538,16243r,58l595,16301r,-58e" fillcolor="black" stroked="f">
              <v:stroke joinstyle="round"/>
              <v:formulas/>
              <v:path arrowok="t" o:connecttype="segments"/>
            </v:shape>
            <v:line id="_x0000_s1055" style="position:absolute" from="595,16344" to="11309,16344" strokeweight="1.44pt"/>
            <v:line id="_x0000_s1054" style="position:absolute" from="595,16272" to="11309,16272" strokeweight="2.88pt"/>
            <v:shape id="_x0000_s1053" style="position:absolute;left:11308;top:16243;width:116;height:116" coordorigin="11309,16243" coordsize="116,116" o:spt="100" adj="0,,0" path="m11366,16243r-57,l11309,16301r57,l11366,16243t58,l11395,16243r,87l11309,16330r,28l11395,16358r29,l11424,16330r,-87e" fillcolor="black" stroked="f">
              <v:stroke joinstyle="round"/>
              <v:formulas/>
              <v:path arrowok="t" o:connecttype="segments"/>
            </v:shape>
            <w10:wrap anchorx="page" anchory="page"/>
          </v:group>
        </w:pict>
      </w:r>
      <w:r w:rsidR="003E2B3A" w:rsidRPr="00371C8C">
        <w:rPr>
          <w:rFonts w:ascii="Arial" w:hAnsi="Arial" w:cs="Arial"/>
          <w:color w:val="0070C0"/>
          <w:sz w:val="22"/>
          <w:szCs w:val="22"/>
        </w:rPr>
        <w:t>PREAMBLE</w:t>
      </w:r>
    </w:p>
    <w:p w:rsidR="00371C8C" w:rsidRPr="00371C8C" w:rsidRDefault="00371C8C" w:rsidP="00371C8C">
      <w:pPr>
        <w:pStyle w:val="Heading2"/>
        <w:tabs>
          <w:tab w:val="left" w:pos="322"/>
        </w:tabs>
        <w:spacing w:line="276" w:lineRule="auto"/>
        <w:ind w:left="0"/>
        <w:jc w:val="both"/>
        <w:rPr>
          <w:rFonts w:ascii="Arial" w:hAnsi="Arial" w:cs="Arial"/>
          <w:color w:val="0070C0"/>
          <w:sz w:val="22"/>
          <w:szCs w:val="22"/>
        </w:rPr>
      </w:pPr>
    </w:p>
    <w:p w:rsidR="005616B1" w:rsidRPr="00371C8C" w:rsidRDefault="003E2B3A"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 xml:space="preserve">The Board of Directors (the “Board”) </w:t>
      </w:r>
      <w:r w:rsidR="00371C8C" w:rsidRPr="00371C8C">
        <w:rPr>
          <w:rFonts w:ascii="Arial" w:hAnsi="Arial" w:cs="Arial"/>
          <w:color w:val="0070C0"/>
          <w:sz w:val="22"/>
          <w:szCs w:val="22"/>
        </w:rPr>
        <w:t>of Mayukh</w:t>
      </w:r>
      <w:r w:rsidR="00CA51F8" w:rsidRPr="00371C8C">
        <w:rPr>
          <w:rFonts w:ascii="Arial" w:hAnsi="Arial" w:cs="Arial"/>
          <w:color w:val="0070C0"/>
          <w:sz w:val="22"/>
          <w:szCs w:val="22"/>
        </w:rPr>
        <w:t xml:space="preserve"> Dealtrade Limited </w:t>
      </w:r>
      <w:r w:rsidRPr="00371C8C">
        <w:rPr>
          <w:rFonts w:ascii="Arial" w:hAnsi="Arial" w:cs="Arial"/>
          <w:color w:val="0070C0"/>
          <w:sz w:val="22"/>
          <w:szCs w:val="22"/>
        </w:rPr>
        <w:t>(the “Company”) has adopted the following policy and procedures with regard to Related Party Transactions as defined below. The Audit Committee will review and may amend this policy from time to time. This policy is to regulate transactions between the Company and its Related Parties based on the applicable laws and regulations applicable on the Company.</w:t>
      </w:r>
    </w:p>
    <w:p w:rsidR="005616B1" w:rsidRPr="00371C8C" w:rsidRDefault="005616B1" w:rsidP="00371C8C">
      <w:pPr>
        <w:pStyle w:val="BodyText"/>
        <w:spacing w:line="276" w:lineRule="auto"/>
        <w:jc w:val="both"/>
        <w:rPr>
          <w:rFonts w:ascii="Arial" w:hAnsi="Arial" w:cs="Arial"/>
          <w:color w:val="0070C0"/>
          <w:sz w:val="22"/>
          <w:szCs w:val="22"/>
        </w:rPr>
      </w:pPr>
    </w:p>
    <w:p w:rsidR="005616B1" w:rsidRDefault="003E2B3A" w:rsidP="00371C8C">
      <w:pPr>
        <w:pStyle w:val="Heading2"/>
        <w:numPr>
          <w:ilvl w:val="0"/>
          <w:numId w:val="2"/>
        </w:numPr>
        <w:tabs>
          <w:tab w:val="left" w:pos="322"/>
        </w:tabs>
        <w:spacing w:line="276" w:lineRule="auto"/>
        <w:ind w:left="0" w:firstLine="0"/>
        <w:jc w:val="both"/>
        <w:rPr>
          <w:rFonts w:ascii="Arial" w:hAnsi="Arial" w:cs="Arial"/>
          <w:color w:val="0070C0"/>
          <w:sz w:val="22"/>
          <w:szCs w:val="22"/>
        </w:rPr>
      </w:pPr>
      <w:r w:rsidRPr="00371C8C">
        <w:rPr>
          <w:rFonts w:ascii="Arial" w:hAnsi="Arial" w:cs="Arial"/>
          <w:color w:val="0070C0"/>
          <w:sz w:val="22"/>
          <w:szCs w:val="22"/>
        </w:rPr>
        <w:t>PURPOSE</w:t>
      </w:r>
    </w:p>
    <w:p w:rsidR="00371C8C" w:rsidRPr="00371C8C" w:rsidRDefault="00371C8C" w:rsidP="00371C8C">
      <w:pPr>
        <w:pStyle w:val="Heading2"/>
        <w:tabs>
          <w:tab w:val="left" w:pos="322"/>
        </w:tabs>
        <w:spacing w:line="276" w:lineRule="auto"/>
        <w:ind w:left="0"/>
        <w:jc w:val="both"/>
        <w:rPr>
          <w:rFonts w:ascii="Arial" w:hAnsi="Arial" w:cs="Arial"/>
          <w:color w:val="0070C0"/>
          <w:sz w:val="22"/>
          <w:szCs w:val="22"/>
        </w:rPr>
      </w:pPr>
    </w:p>
    <w:p w:rsidR="005616B1" w:rsidRPr="00371C8C" w:rsidRDefault="003E2B3A"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 xml:space="preserve">This policy </w:t>
      </w:r>
      <w:r w:rsidRPr="00371C8C">
        <w:rPr>
          <w:rFonts w:ascii="Arial" w:hAnsi="Arial" w:cs="Arial"/>
          <w:color w:val="0070C0"/>
          <w:spacing w:val="-3"/>
          <w:sz w:val="22"/>
          <w:szCs w:val="22"/>
        </w:rPr>
        <w:t xml:space="preserve">is </w:t>
      </w:r>
      <w:r w:rsidRPr="00371C8C">
        <w:rPr>
          <w:rFonts w:ascii="Arial" w:hAnsi="Arial" w:cs="Arial"/>
          <w:color w:val="0070C0"/>
          <w:sz w:val="22"/>
          <w:szCs w:val="22"/>
        </w:rPr>
        <w:t xml:space="preserve">framed </w:t>
      </w:r>
      <w:r w:rsidRPr="00371C8C">
        <w:rPr>
          <w:rFonts w:ascii="Arial" w:hAnsi="Arial" w:cs="Arial"/>
          <w:color w:val="0070C0"/>
          <w:spacing w:val="-3"/>
          <w:sz w:val="22"/>
          <w:szCs w:val="22"/>
        </w:rPr>
        <w:t xml:space="preserve">as </w:t>
      </w:r>
      <w:r w:rsidRPr="00371C8C">
        <w:rPr>
          <w:rFonts w:ascii="Arial" w:hAnsi="Arial" w:cs="Arial"/>
          <w:color w:val="0070C0"/>
          <w:sz w:val="22"/>
          <w:szCs w:val="22"/>
        </w:rPr>
        <w:t xml:space="preserve">per requirement of Companies Act, 2013 &amp; </w:t>
      </w:r>
      <w:r w:rsidR="00CE2DDA" w:rsidRPr="00371C8C">
        <w:rPr>
          <w:rFonts w:ascii="Arial" w:hAnsi="Arial" w:cs="Arial"/>
          <w:color w:val="0070C0"/>
          <w:sz w:val="22"/>
          <w:szCs w:val="22"/>
        </w:rPr>
        <w:t xml:space="preserve">Regulation 23 </w:t>
      </w:r>
      <w:r w:rsidRPr="00371C8C">
        <w:rPr>
          <w:rFonts w:ascii="Arial" w:hAnsi="Arial" w:cs="Arial"/>
          <w:color w:val="0070C0"/>
          <w:sz w:val="22"/>
          <w:szCs w:val="22"/>
        </w:rPr>
        <w:t xml:space="preserve">of the Listing </w:t>
      </w:r>
      <w:r w:rsidR="00CE2DDA" w:rsidRPr="00371C8C">
        <w:rPr>
          <w:rFonts w:ascii="Arial" w:hAnsi="Arial" w:cs="Arial"/>
          <w:color w:val="0070C0"/>
          <w:sz w:val="22"/>
          <w:szCs w:val="22"/>
        </w:rPr>
        <w:t>SEBI (LODR) Regulations 2015</w:t>
      </w:r>
      <w:r w:rsidRPr="00371C8C">
        <w:rPr>
          <w:rFonts w:ascii="Arial" w:hAnsi="Arial" w:cs="Arial"/>
          <w:color w:val="0070C0"/>
          <w:sz w:val="22"/>
          <w:szCs w:val="22"/>
        </w:rPr>
        <w:t xml:space="preserve"> entered by the Company with the Stock Exchanges and intended to ensure the </w:t>
      </w:r>
      <w:r w:rsidRPr="00371C8C">
        <w:rPr>
          <w:rFonts w:ascii="Arial" w:hAnsi="Arial" w:cs="Arial"/>
          <w:color w:val="0070C0"/>
          <w:spacing w:val="-3"/>
          <w:sz w:val="22"/>
          <w:szCs w:val="22"/>
        </w:rPr>
        <w:t xml:space="preserve">proper </w:t>
      </w:r>
      <w:r w:rsidRPr="00371C8C">
        <w:rPr>
          <w:rFonts w:ascii="Arial" w:hAnsi="Arial" w:cs="Arial"/>
          <w:color w:val="0070C0"/>
          <w:sz w:val="22"/>
          <w:szCs w:val="22"/>
        </w:rPr>
        <w:t xml:space="preserve">approval and reporting of transactions between </w:t>
      </w:r>
      <w:r w:rsidRPr="00371C8C">
        <w:rPr>
          <w:rFonts w:ascii="Arial" w:hAnsi="Arial" w:cs="Arial"/>
          <w:color w:val="0070C0"/>
          <w:spacing w:val="-3"/>
          <w:sz w:val="22"/>
          <w:szCs w:val="22"/>
        </w:rPr>
        <w:t xml:space="preserve">the </w:t>
      </w:r>
      <w:r w:rsidRPr="00371C8C">
        <w:rPr>
          <w:rFonts w:ascii="Arial" w:hAnsi="Arial" w:cs="Arial"/>
          <w:color w:val="0070C0"/>
          <w:sz w:val="22"/>
          <w:szCs w:val="22"/>
        </w:rPr>
        <w:t xml:space="preserve">Company and </w:t>
      </w:r>
      <w:r w:rsidRPr="00371C8C">
        <w:rPr>
          <w:rFonts w:ascii="Arial" w:hAnsi="Arial" w:cs="Arial"/>
          <w:color w:val="0070C0"/>
          <w:spacing w:val="-2"/>
          <w:sz w:val="22"/>
          <w:szCs w:val="22"/>
        </w:rPr>
        <w:t xml:space="preserve">its </w:t>
      </w:r>
      <w:r w:rsidRPr="00371C8C">
        <w:rPr>
          <w:rFonts w:ascii="Arial" w:hAnsi="Arial" w:cs="Arial"/>
          <w:color w:val="0070C0"/>
          <w:sz w:val="22"/>
          <w:szCs w:val="22"/>
        </w:rPr>
        <w:t xml:space="preserve">Related Parties. Such transactions are appropriate only if they are in the best interest of the Company and its shareholders. The Company is required to disclose each year in the Financial Statements certain transactions between the Company and Related Parties as well </w:t>
      </w:r>
      <w:r w:rsidRPr="00371C8C">
        <w:rPr>
          <w:rFonts w:ascii="Arial" w:hAnsi="Arial" w:cs="Arial"/>
          <w:color w:val="0070C0"/>
          <w:spacing w:val="-3"/>
          <w:sz w:val="22"/>
          <w:szCs w:val="22"/>
        </w:rPr>
        <w:t xml:space="preserve">as </w:t>
      </w:r>
      <w:r w:rsidRPr="00371C8C">
        <w:rPr>
          <w:rFonts w:ascii="Arial" w:hAnsi="Arial" w:cs="Arial"/>
          <w:color w:val="0070C0"/>
          <w:sz w:val="22"/>
          <w:szCs w:val="22"/>
        </w:rPr>
        <w:t>policies concerning transactions with Related Parties.</w:t>
      </w: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3E2B3A" w:rsidP="00371C8C">
      <w:pPr>
        <w:pStyle w:val="Heading2"/>
        <w:numPr>
          <w:ilvl w:val="0"/>
          <w:numId w:val="2"/>
        </w:numPr>
        <w:tabs>
          <w:tab w:val="left" w:pos="322"/>
        </w:tabs>
        <w:spacing w:line="276" w:lineRule="auto"/>
        <w:ind w:left="0" w:firstLine="0"/>
        <w:jc w:val="both"/>
        <w:rPr>
          <w:rFonts w:ascii="Arial" w:hAnsi="Arial" w:cs="Arial"/>
          <w:color w:val="0070C0"/>
          <w:sz w:val="22"/>
          <w:szCs w:val="22"/>
        </w:rPr>
      </w:pPr>
      <w:r w:rsidRPr="00371C8C">
        <w:rPr>
          <w:rFonts w:ascii="Arial" w:hAnsi="Arial" w:cs="Arial"/>
          <w:color w:val="0070C0"/>
          <w:sz w:val="22"/>
          <w:szCs w:val="22"/>
        </w:rPr>
        <w:t>DEFINITIONS</w:t>
      </w:r>
    </w:p>
    <w:p w:rsidR="005616B1" w:rsidRPr="00371C8C" w:rsidRDefault="005616B1" w:rsidP="00371C8C">
      <w:pPr>
        <w:pStyle w:val="BodyText"/>
        <w:spacing w:line="276" w:lineRule="auto"/>
        <w:jc w:val="both"/>
        <w:rPr>
          <w:rFonts w:ascii="Arial" w:hAnsi="Arial" w:cs="Arial"/>
          <w:b/>
          <w:color w:val="0070C0"/>
          <w:sz w:val="22"/>
          <w:szCs w:val="22"/>
        </w:rPr>
      </w:pPr>
    </w:p>
    <w:p w:rsidR="005616B1" w:rsidRPr="00371C8C" w:rsidRDefault="003E2B3A" w:rsidP="00371C8C">
      <w:pPr>
        <w:pStyle w:val="BodyText"/>
        <w:spacing w:line="276" w:lineRule="auto"/>
        <w:jc w:val="both"/>
        <w:rPr>
          <w:rFonts w:ascii="Arial" w:hAnsi="Arial" w:cs="Arial"/>
          <w:color w:val="0070C0"/>
          <w:sz w:val="22"/>
          <w:szCs w:val="22"/>
        </w:rPr>
      </w:pPr>
      <w:r w:rsidRPr="00371C8C">
        <w:rPr>
          <w:rFonts w:ascii="Arial" w:hAnsi="Arial" w:cs="Arial"/>
          <w:b/>
          <w:color w:val="0070C0"/>
          <w:sz w:val="22"/>
          <w:szCs w:val="22"/>
        </w:rPr>
        <w:t xml:space="preserve">“Audit Committee” </w:t>
      </w:r>
      <w:r w:rsidRPr="00371C8C">
        <w:rPr>
          <w:rFonts w:ascii="Arial" w:hAnsi="Arial" w:cs="Arial"/>
          <w:color w:val="0070C0"/>
          <w:sz w:val="22"/>
          <w:szCs w:val="22"/>
        </w:rPr>
        <w:t xml:space="preserve">means Audit Committee of the Company constituted under provisions of </w:t>
      </w:r>
      <w:r w:rsidR="00CE2DDA" w:rsidRPr="00371C8C">
        <w:rPr>
          <w:rFonts w:ascii="Arial" w:hAnsi="Arial" w:cs="Arial"/>
          <w:color w:val="0070C0"/>
          <w:sz w:val="22"/>
          <w:szCs w:val="22"/>
        </w:rPr>
        <w:t xml:space="preserve">Related Party Transactions </w:t>
      </w:r>
      <w:r w:rsidRPr="00371C8C">
        <w:rPr>
          <w:rFonts w:ascii="Arial" w:hAnsi="Arial" w:cs="Arial"/>
          <w:color w:val="0070C0"/>
          <w:sz w:val="22"/>
          <w:szCs w:val="22"/>
        </w:rPr>
        <w:t>and Companies Act, 2013.</w:t>
      </w:r>
    </w:p>
    <w:p w:rsidR="005616B1" w:rsidRPr="00371C8C" w:rsidRDefault="003E2B3A"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_</w:t>
      </w:r>
    </w:p>
    <w:p w:rsidR="005616B1" w:rsidRPr="00371C8C" w:rsidRDefault="003E2B3A" w:rsidP="00371C8C">
      <w:pPr>
        <w:pStyle w:val="BodyText"/>
        <w:spacing w:line="276" w:lineRule="auto"/>
        <w:jc w:val="both"/>
        <w:rPr>
          <w:rFonts w:ascii="Arial" w:hAnsi="Arial" w:cs="Arial"/>
          <w:color w:val="0070C0"/>
          <w:sz w:val="22"/>
          <w:szCs w:val="22"/>
        </w:rPr>
      </w:pPr>
      <w:r w:rsidRPr="00371C8C">
        <w:rPr>
          <w:rFonts w:ascii="Arial" w:hAnsi="Arial" w:cs="Arial"/>
          <w:b/>
          <w:color w:val="0070C0"/>
          <w:sz w:val="22"/>
          <w:szCs w:val="22"/>
        </w:rPr>
        <w:t xml:space="preserve">“Arm’s Length Transaction” </w:t>
      </w:r>
      <w:r w:rsidRPr="00371C8C">
        <w:rPr>
          <w:rFonts w:ascii="Arial" w:hAnsi="Arial" w:cs="Arial"/>
          <w:color w:val="0070C0"/>
          <w:sz w:val="22"/>
          <w:szCs w:val="22"/>
        </w:rPr>
        <w:t xml:space="preserve">shall have the same </w:t>
      </w:r>
      <w:r w:rsidRPr="00371C8C">
        <w:rPr>
          <w:rFonts w:ascii="Arial" w:hAnsi="Arial" w:cs="Arial"/>
          <w:color w:val="0070C0"/>
          <w:spacing w:val="-3"/>
          <w:sz w:val="22"/>
          <w:szCs w:val="22"/>
        </w:rPr>
        <w:t xml:space="preserve">meaning </w:t>
      </w:r>
      <w:r w:rsidRPr="00371C8C">
        <w:rPr>
          <w:rFonts w:ascii="Arial" w:hAnsi="Arial" w:cs="Arial"/>
          <w:color w:val="0070C0"/>
          <w:sz w:val="22"/>
          <w:szCs w:val="22"/>
        </w:rPr>
        <w:t xml:space="preserve">as </w:t>
      </w:r>
      <w:r w:rsidR="00371C8C" w:rsidRPr="00371C8C">
        <w:rPr>
          <w:rFonts w:ascii="Arial" w:hAnsi="Arial" w:cs="Arial"/>
          <w:color w:val="0070C0"/>
          <w:sz w:val="22"/>
          <w:szCs w:val="22"/>
        </w:rPr>
        <w:t>defined under</w:t>
      </w:r>
      <w:r w:rsidRPr="00371C8C">
        <w:rPr>
          <w:rFonts w:ascii="Arial" w:hAnsi="Arial" w:cs="Arial"/>
          <w:color w:val="0070C0"/>
          <w:sz w:val="22"/>
          <w:szCs w:val="22"/>
        </w:rPr>
        <w:t xml:space="preserve"> Companies Act, 2013 and in any other </w:t>
      </w:r>
      <w:r w:rsidRPr="00371C8C">
        <w:rPr>
          <w:rFonts w:ascii="Arial" w:hAnsi="Arial" w:cs="Arial"/>
          <w:color w:val="0070C0"/>
          <w:spacing w:val="-3"/>
          <w:sz w:val="22"/>
          <w:szCs w:val="22"/>
        </w:rPr>
        <w:t xml:space="preserve">law </w:t>
      </w:r>
      <w:r w:rsidRPr="00371C8C">
        <w:rPr>
          <w:rFonts w:ascii="Arial" w:hAnsi="Arial" w:cs="Arial"/>
          <w:color w:val="0070C0"/>
          <w:sz w:val="22"/>
          <w:szCs w:val="22"/>
        </w:rPr>
        <w:t>applicable to the Company for time being in</w:t>
      </w:r>
      <w:r w:rsidRPr="00371C8C">
        <w:rPr>
          <w:rFonts w:ascii="Arial" w:hAnsi="Arial" w:cs="Arial"/>
          <w:color w:val="0070C0"/>
          <w:spacing w:val="5"/>
          <w:sz w:val="22"/>
          <w:szCs w:val="22"/>
        </w:rPr>
        <w:t xml:space="preserve"> </w:t>
      </w:r>
      <w:r w:rsidRPr="00371C8C">
        <w:rPr>
          <w:rFonts w:ascii="Arial" w:hAnsi="Arial" w:cs="Arial"/>
          <w:color w:val="0070C0"/>
          <w:sz w:val="22"/>
          <w:szCs w:val="22"/>
        </w:rPr>
        <w:t>force.</w:t>
      </w: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3E2B3A" w:rsidP="00371C8C">
      <w:pPr>
        <w:pStyle w:val="BodyText"/>
        <w:spacing w:line="276" w:lineRule="auto"/>
        <w:jc w:val="both"/>
        <w:rPr>
          <w:rFonts w:ascii="Arial" w:hAnsi="Arial" w:cs="Arial"/>
          <w:color w:val="0070C0"/>
          <w:sz w:val="22"/>
          <w:szCs w:val="22"/>
        </w:rPr>
      </w:pPr>
      <w:r w:rsidRPr="00371C8C">
        <w:rPr>
          <w:rFonts w:ascii="Arial" w:hAnsi="Arial" w:cs="Arial"/>
          <w:b/>
          <w:color w:val="0070C0"/>
          <w:sz w:val="22"/>
          <w:szCs w:val="22"/>
        </w:rPr>
        <w:t xml:space="preserve">“Board” </w:t>
      </w:r>
      <w:r w:rsidRPr="00371C8C">
        <w:rPr>
          <w:rFonts w:ascii="Arial" w:hAnsi="Arial" w:cs="Arial"/>
          <w:color w:val="0070C0"/>
          <w:sz w:val="22"/>
          <w:szCs w:val="22"/>
        </w:rPr>
        <w:t>means Board of Directors of the Company.</w:t>
      </w: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3E2B3A" w:rsidP="00371C8C">
      <w:pPr>
        <w:pStyle w:val="BodyText"/>
        <w:spacing w:line="276" w:lineRule="auto"/>
        <w:jc w:val="both"/>
        <w:rPr>
          <w:rFonts w:ascii="Arial" w:hAnsi="Arial" w:cs="Arial"/>
          <w:color w:val="0070C0"/>
          <w:sz w:val="22"/>
          <w:szCs w:val="22"/>
        </w:rPr>
      </w:pPr>
      <w:r w:rsidRPr="00371C8C">
        <w:rPr>
          <w:rFonts w:ascii="Arial" w:hAnsi="Arial" w:cs="Arial"/>
          <w:b/>
          <w:color w:val="0070C0"/>
          <w:sz w:val="22"/>
          <w:szCs w:val="22"/>
        </w:rPr>
        <w:t xml:space="preserve">“Control” </w:t>
      </w:r>
      <w:r w:rsidRPr="00371C8C">
        <w:rPr>
          <w:rFonts w:ascii="Arial" w:hAnsi="Arial" w:cs="Arial"/>
          <w:color w:val="0070C0"/>
          <w:sz w:val="22"/>
          <w:szCs w:val="22"/>
        </w:rPr>
        <w:t>shall have the same meaning as defined in SEBI (Substantial Acquisition of Shares and Takeovers) Regulations, 2011.</w:t>
      </w: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3E2B3A" w:rsidP="00371C8C">
      <w:pPr>
        <w:pStyle w:val="BodyText"/>
        <w:spacing w:line="276" w:lineRule="auto"/>
        <w:jc w:val="both"/>
        <w:rPr>
          <w:rFonts w:ascii="Arial" w:hAnsi="Arial" w:cs="Arial"/>
          <w:color w:val="0070C0"/>
          <w:sz w:val="22"/>
          <w:szCs w:val="22"/>
        </w:rPr>
      </w:pPr>
      <w:r w:rsidRPr="00371C8C">
        <w:rPr>
          <w:rFonts w:ascii="Arial" w:hAnsi="Arial" w:cs="Arial"/>
          <w:b/>
          <w:color w:val="0070C0"/>
          <w:sz w:val="22"/>
          <w:szCs w:val="22"/>
        </w:rPr>
        <w:t>“Company “</w:t>
      </w:r>
      <w:r w:rsidRPr="00371C8C">
        <w:rPr>
          <w:rFonts w:ascii="Arial" w:hAnsi="Arial" w:cs="Arial"/>
          <w:color w:val="0070C0"/>
          <w:sz w:val="22"/>
          <w:szCs w:val="22"/>
        </w:rPr>
        <w:t xml:space="preserve">shall mean </w:t>
      </w:r>
      <w:r w:rsidR="00371C8C" w:rsidRPr="00371C8C">
        <w:rPr>
          <w:rFonts w:ascii="Arial" w:hAnsi="Arial" w:cs="Arial"/>
          <w:color w:val="0070C0"/>
          <w:sz w:val="22"/>
          <w:szCs w:val="22"/>
        </w:rPr>
        <w:t>Mayuk Dealtrade Limited</w:t>
      </w:r>
      <w:r w:rsidRPr="00371C8C">
        <w:rPr>
          <w:rFonts w:ascii="Arial" w:hAnsi="Arial" w:cs="Arial"/>
          <w:color w:val="0070C0"/>
          <w:sz w:val="22"/>
          <w:szCs w:val="22"/>
        </w:rPr>
        <w:t>.</w:t>
      </w: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3E2B3A" w:rsidP="00371C8C">
      <w:pPr>
        <w:spacing w:line="276" w:lineRule="auto"/>
        <w:jc w:val="both"/>
        <w:rPr>
          <w:rFonts w:ascii="Arial" w:hAnsi="Arial" w:cs="Arial"/>
          <w:color w:val="0070C0"/>
        </w:rPr>
      </w:pPr>
      <w:r w:rsidRPr="00371C8C">
        <w:rPr>
          <w:rFonts w:ascii="Arial" w:hAnsi="Arial" w:cs="Arial"/>
          <w:b/>
          <w:color w:val="0070C0"/>
        </w:rPr>
        <w:t xml:space="preserve">“Key Managerial Personnel” </w:t>
      </w:r>
      <w:r w:rsidRPr="00371C8C">
        <w:rPr>
          <w:rFonts w:ascii="Arial" w:hAnsi="Arial" w:cs="Arial"/>
          <w:color w:val="0070C0"/>
        </w:rPr>
        <w:t>means key managerial personnel as defined under the Companies Act, 2013 and includes:-</w:t>
      </w: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3E2B3A" w:rsidP="00371C8C">
      <w:pPr>
        <w:pStyle w:val="ListParagraph"/>
        <w:numPr>
          <w:ilvl w:val="0"/>
          <w:numId w:val="1"/>
        </w:numPr>
        <w:tabs>
          <w:tab w:val="left" w:pos="404"/>
        </w:tabs>
        <w:spacing w:line="276" w:lineRule="auto"/>
        <w:ind w:left="0" w:firstLine="0"/>
        <w:jc w:val="both"/>
        <w:rPr>
          <w:rFonts w:ascii="Arial" w:hAnsi="Arial" w:cs="Arial"/>
          <w:color w:val="0070C0"/>
        </w:rPr>
      </w:pPr>
      <w:r w:rsidRPr="00371C8C">
        <w:rPr>
          <w:rFonts w:ascii="Arial" w:hAnsi="Arial" w:cs="Arial"/>
          <w:color w:val="0070C0"/>
        </w:rPr>
        <w:t xml:space="preserve">Managing Director, </w:t>
      </w:r>
      <w:r w:rsidRPr="00371C8C">
        <w:rPr>
          <w:rFonts w:ascii="Arial" w:hAnsi="Arial" w:cs="Arial"/>
          <w:color w:val="0070C0"/>
          <w:spacing w:val="-3"/>
        </w:rPr>
        <w:t xml:space="preserve">or </w:t>
      </w:r>
      <w:r w:rsidRPr="00371C8C">
        <w:rPr>
          <w:rFonts w:ascii="Arial" w:hAnsi="Arial" w:cs="Arial"/>
          <w:color w:val="0070C0"/>
        </w:rPr>
        <w:t xml:space="preserve">Chief Executive Officer </w:t>
      </w:r>
      <w:r w:rsidRPr="00371C8C">
        <w:rPr>
          <w:rFonts w:ascii="Arial" w:hAnsi="Arial" w:cs="Arial"/>
          <w:color w:val="0070C0"/>
          <w:spacing w:val="-3"/>
        </w:rPr>
        <w:t xml:space="preserve">or </w:t>
      </w:r>
      <w:r w:rsidRPr="00371C8C">
        <w:rPr>
          <w:rFonts w:ascii="Arial" w:hAnsi="Arial" w:cs="Arial"/>
          <w:color w:val="0070C0"/>
        </w:rPr>
        <w:t xml:space="preserve">manager </w:t>
      </w:r>
      <w:r w:rsidRPr="00371C8C">
        <w:rPr>
          <w:rFonts w:ascii="Arial" w:hAnsi="Arial" w:cs="Arial"/>
          <w:color w:val="0070C0"/>
          <w:spacing w:val="-3"/>
        </w:rPr>
        <w:t xml:space="preserve">and </w:t>
      </w:r>
      <w:r w:rsidRPr="00371C8C">
        <w:rPr>
          <w:rFonts w:ascii="Arial" w:hAnsi="Arial" w:cs="Arial"/>
          <w:color w:val="0070C0"/>
        </w:rPr>
        <w:t>in their absence, a whole-time director;</w:t>
      </w:r>
    </w:p>
    <w:p w:rsidR="005616B1" w:rsidRPr="00371C8C" w:rsidRDefault="003E2B3A" w:rsidP="00371C8C">
      <w:pPr>
        <w:pStyle w:val="ListParagraph"/>
        <w:numPr>
          <w:ilvl w:val="0"/>
          <w:numId w:val="1"/>
        </w:numPr>
        <w:tabs>
          <w:tab w:val="left" w:pos="423"/>
        </w:tabs>
        <w:spacing w:line="276" w:lineRule="auto"/>
        <w:ind w:left="0" w:firstLine="0"/>
        <w:jc w:val="both"/>
        <w:rPr>
          <w:rFonts w:ascii="Arial" w:hAnsi="Arial" w:cs="Arial"/>
          <w:color w:val="0070C0"/>
        </w:rPr>
      </w:pPr>
      <w:r w:rsidRPr="00371C8C">
        <w:rPr>
          <w:rFonts w:ascii="Arial" w:hAnsi="Arial" w:cs="Arial"/>
          <w:color w:val="0070C0"/>
        </w:rPr>
        <w:t>Company Secretary;</w:t>
      </w:r>
      <w:r w:rsidRPr="00371C8C">
        <w:rPr>
          <w:rFonts w:ascii="Arial" w:hAnsi="Arial" w:cs="Arial"/>
          <w:color w:val="0070C0"/>
          <w:spacing w:val="5"/>
        </w:rPr>
        <w:t xml:space="preserve"> </w:t>
      </w:r>
      <w:r w:rsidRPr="00371C8C">
        <w:rPr>
          <w:rFonts w:ascii="Arial" w:hAnsi="Arial" w:cs="Arial"/>
          <w:color w:val="0070C0"/>
          <w:spacing w:val="-3"/>
        </w:rPr>
        <w:t>and</w:t>
      </w:r>
    </w:p>
    <w:p w:rsidR="005616B1" w:rsidRPr="00371C8C" w:rsidRDefault="003E2B3A" w:rsidP="00371C8C">
      <w:pPr>
        <w:pStyle w:val="ListParagraph"/>
        <w:numPr>
          <w:ilvl w:val="0"/>
          <w:numId w:val="1"/>
        </w:numPr>
        <w:tabs>
          <w:tab w:val="left" w:pos="481"/>
        </w:tabs>
        <w:spacing w:line="276" w:lineRule="auto"/>
        <w:ind w:left="0" w:firstLine="0"/>
        <w:jc w:val="both"/>
        <w:rPr>
          <w:rFonts w:ascii="Arial" w:hAnsi="Arial" w:cs="Arial"/>
          <w:color w:val="0070C0"/>
        </w:rPr>
      </w:pPr>
      <w:r w:rsidRPr="00371C8C">
        <w:rPr>
          <w:rFonts w:ascii="Arial" w:hAnsi="Arial" w:cs="Arial"/>
          <w:color w:val="0070C0"/>
        </w:rPr>
        <w:t>Chief Financial</w:t>
      </w:r>
      <w:r w:rsidRPr="00371C8C">
        <w:rPr>
          <w:rFonts w:ascii="Arial" w:hAnsi="Arial" w:cs="Arial"/>
          <w:color w:val="0070C0"/>
          <w:spacing w:val="-3"/>
        </w:rPr>
        <w:t xml:space="preserve"> </w:t>
      </w:r>
      <w:r w:rsidRPr="00371C8C">
        <w:rPr>
          <w:rFonts w:ascii="Arial" w:hAnsi="Arial" w:cs="Arial"/>
          <w:color w:val="0070C0"/>
        </w:rPr>
        <w:t>Officer</w:t>
      </w: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3E2B3A" w:rsidP="00371C8C">
      <w:pPr>
        <w:pStyle w:val="BodyText"/>
        <w:spacing w:line="276" w:lineRule="auto"/>
        <w:jc w:val="both"/>
        <w:rPr>
          <w:rFonts w:ascii="Arial" w:hAnsi="Arial" w:cs="Arial"/>
          <w:color w:val="0070C0"/>
          <w:sz w:val="22"/>
          <w:szCs w:val="22"/>
        </w:rPr>
      </w:pPr>
      <w:r w:rsidRPr="00371C8C">
        <w:rPr>
          <w:rFonts w:ascii="Arial" w:hAnsi="Arial" w:cs="Arial"/>
          <w:b/>
          <w:color w:val="0070C0"/>
          <w:sz w:val="22"/>
          <w:szCs w:val="22"/>
        </w:rPr>
        <w:t xml:space="preserve">“Material Related Party Transaction” </w:t>
      </w:r>
      <w:r w:rsidRPr="00371C8C">
        <w:rPr>
          <w:rFonts w:ascii="Arial" w:hAnsi="Arial" w:cs="Arial"/>
          <w:color w:val="0070C0"/>
          <w:sz w:val="22"/>
          <w:szCs w:val="22"/>
        </w:rPr>
        <w:t>means a transaction with a related party if the transaction / transactions to be entered into individually or taken together with previous transactions during a financial year, exceeds five percent of the annual turnover or twenty percent of the net worth of the company as per the last audited financial statements of the company, whichever is higher.</w:t>
      </w:r>
    </w:p>
    <w:p w:rsidR="005616B1" w:rsidRPr="00371C8C" w:rsidRDefault="005616B1" w:rsidP="00371C8C">
      <w:pPr>
        <w:pStyle w:val="BodyText"/>
        <w:spacing w:line="276" w:lineRule="auto"/>
        <w:jc w:val="both"/>
        <w:rPr>
          <w:rFonts w:ascii="Arial" w:hAnsi="Arial" w:cs="Arial"/>
          <w:color w:val="0070C0"/>
          <w:sz w:val="22"/>
          <w:szCs w:val="22"/>
        </w:rPr>
      </w:pPr>
    </w:p>
    <w:p w:rsidR="005616B1" w:rsidRPr="00371C8C" w:rsidRDefault="003E2B3A" w:rsidP="00371C8C">
      <w:pPr>
        <w:spacing w:line="276" w:lineRule="auto"/>
        <w:jc w:val="both"/>
        <w:rPr>
          <w:rFonts w:ascii="Arial" w:hAnsi="Arial" w:cs="Arial"/>
          <w:color w:val="0070C0"/>
        </w:rPr>
      </w:pPr>
      <w:r w:rsidRPr="00371C8C">
        <w:rPr>
          <w:rFonts w:ascii="Arial" w:hAnsi="Arial" w:cs="Arial"/>
          <w:b/>
          <w:color w:val="0070C0"/>
        </w:rPr>
        <w:t xml:space="preserve">“Ordinary Course of business” </w:t>
      </w:r>
      <w:r w:rsidRPr="00371C8C">
        <w:rPr>
          <w:rFonts w:ascii="Arial" w:hAnsi="Arial" w:cs="Arial"/>
          <w:color w:val="0070C0"/>
        </w:rPr>
        <w:t>shall mean practices and customs of any commercial transactions which are common as compared to other transactions.</w:t>
      </w:r>
    </w:p>
    <w:p w:rsidR="005616B1" w:rsidRPr="00371C8C" w:rsidRDefault="005616B1" w:rsidP="00371C8C">
      <w:pPr>
        <w:pStyle w:val="BodyText"/>
        <w:spacing w:line="276" w:lineRule="auto"/>
        <w:jc w:val="both"/>
        <w:rPr>
          <w:rFonts w:ascii="Arial" w:hAnsi="Arial" w:cs="Arial"/>
          <w:color w:val="0070C0"/>
          <w:sz w:val="22"/>
          <w:szCs w:val="22"/>
        </w:rPr>
      </w:pPr>
    </w:p>
    <w:p w:rsidR="005616B1" w:rsidRDefault="003E2B3A"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Further while considering Ordinary Course of Business Audit Committee / Board shall consider that whether:-</w:t>
      </w:r>
    </w:p>
    <w:p w:rsidR="00371C8C" w:rsidRPr="00371C8C" w:rsidRDefault="00371C8C" w:rsidP="00371C8C">
      <w:pPr>
        <w:pStyle w:val="BodyText"/>
        <w:spacing w:line="276" w:lineRule="auto"/>
        <w:jc w:val="both"/>
        <w:rPr>
          <w:rFonts w:ascii="Arial" w:hAnsi="Arial" w:cs="Arial"/>
          <w:color w:val="0070C0"/>
          <w:sz w:val="22"/>
          <w:szCs w:val="22"/>
        </w:rPr>
      </w:pPr>
    </w:p>
    <w:p w:rsidR="005616B1" w:rsidRPr="00371C8C" w:rsidRDefault="00371C8C" w:rsidP="00371C8C">
      <w:pPr>
        <w:tabs>
          <w:tab w:val="left" w:pos="1032"/>
        </w:tabs>
        <w:spacing w:line="276" w:lineRule="auto"/>
        <w:jc w:val="both"/>
        <w:rPr>
          <w:rFonts w:ascii="Arial" w:hAnsi="Arial" w:cs="Arial"/>
          <w:color w:val="0070C0"/>
        </w:rPr>
      </w:pPr>
      <w:r w:rsidRPr="00371C8C">
        <w:rPr>
          <w:rFonts w:ascii="Arial" w:hAnsi="Arial" w:cs="Arial"/>
          <w:color w:val="0070C0"/>
        </w:rPr>
        <w:t>It</w:t>
      </w:r>
      <w:r w:rsidR="003E2B3A" w:rsidRPr="00371C8C">
        <w:rPr>
          <w:rFonts w:ascii="Arial" w:hAnsi="Arial" w:cs="Arial"/>
          <w:color w:val="0070C0"/>
        </w:rPr>
        <w:t xml:space="preserve"> </w:t>
      </w:r>
      <w:r w:rsidR="003E2B3A" w:rsidRPr="00371C8C">
        <w:rPr>
          <w:rFonts w:ascii="Arial" w:hAnsi="Arial" w:cs="Arial"/>
          <w:color w:val="0070C0"/>
          <w:spacing w:val="-3"/>
        </w:rPr>
        <w:t xml:space="preserve">is </w:t>
      </w:r>
      <w:r w:rsidR="003E2B3A" w:rsidRPr="00371C8C">
        <w:rPr>
          <w:rFonts w:ascii="Arial" w:hAnsi="Arial" w:cs="Arial"/>
          <w:color w:val="0070C0"/>
        </w:rPr>
        <w:t xml:space="preserve">normal </w:t>
      </w:r>
      <w:r w:rsidR="003E2B3A" w:rsidRPr="00371C8C">
        <w:rPr>
          <w:rFonts w:ascii="Arial" w:hAnsi="Arial" w:cs="Arial"/>
          <w:color w:val="0070C0"/>
          <w:spacing w:val="-3"/>
        </w:rPr>
        <w:t xml:space="preserve">or </w:t>
      </w:r>
      <w:r w:rsidR="003E2B3A" w:rsidRPr="00371C8C">
        <w:rPr>
          <w:rFonts w:ascii="Arial" w:hAnsi="Arial" w:cs="Arial"/>
          <w:color w:val="0070C0"/>
        </w:rPr>
        <w:t xml:space="preserve">otherwise unremarkable for your particular business (i.e. features in </w:t>
      </w:r>
      <w:r w:rsidR="003E2B3A" w:rsidRPr="00371C8C">
        <w:rPr>
          <w:rFonts w:ascii="Arial" w:hAnsi="Arial" w:cs="Arial"/>
          <w:color w:val="0070C0"/>
          <w:spacing w:val="-3"/>
        </w:rPr>
        <w:t xml:space="preserve">your </w:t>
      </w:r>
      <w:r w:rsidR="003E2B3A" w:rsidRPr="00371C8C">
        <w:rPr>
          <w:rFonts w:ascii="Arial" w:hAnsi="Arial" w:cs="Arial"/>
          <w:color w:val="0070C0"/>
        </w:rPr>
        <w:t>systems, processes, advertising, staff training</w:t>
      </w:r>
      <w:r w:rsidR="003E2B3A" w:rsidRPr="00371C8C">
        <w:rPr>
          <w:rFonts w:ascii="Arial" w:hAnsi="Arial" w:cs="Arial"/>
          <w:color w:val="0070C0"/>
          <w:spacing w:val="2"/>
        </w:rPr>
        <w:t xml:space="preserve"> </w:t>
      </w:r>
      <w:r w:rsidRPr="00371C8C">
        <w:rPr>
          <w:rFonts w:ascii="Arial" w:hAnsi="Arial" w:cs="Arial"/>
          <w:color w:val="0070C0"/>
        </w:rPr>
        <w:t>etc.</w:t>
      </w:r>
      <w:r w:rsidR="003E2B3A" w:rsidRPr="00371C8C">
        <w:rPr>
          <w:rFonts w:ascii="Arial" w:hAnsi="Arial" w:cs="Arial"/>
          <w:color w:val="0070C0"/>
        </w:rPr>
        <w:t>)</w:t>
      </w:r>
    </w:p>
    <w:p w:rsidR="005616B1" w:rsidRPr="00371C8C" w:rsidRDefault="003E2B3A" w:rsidP="00371C8C">
      <w:pPr>
        <w:pStyle w:val="ListParagraph"/>
        <w:numPr>
          <w:ilvl w:val="1"/>
          <w:numId w:val="1"/>
        </w:numPr>
        <w:tabs>
          <w:tab w:val="left" w:pos="450"/>
          <w:tab w:val="left" w:pos="1008"/>
        </w:tabs>
        <w:spacing w:line="276" w:lineRule="auto"/>
        <w:ind w:left="0" w:firstLine="0"/>
        <w:jc w:val="both"/>
        <w:rPr>
          <w:rFonts w:ascii="Arial" w:hAnsi="Arial" w:cs="Arial"/>
          <w:color w:val="0070C0"/>
        </w:rPr>
      </w:pPr>
      <w:r w:rsidRPr="00371C8C">
        <w:rPr>
          <w:rFonts w:ascii="Arial" w:hAnsi="Arial" w:cs="Arial"/>
          <w:color w:val="0070C0"/>
          <w:spacing w:val="-3"/>
        </w:rPr>
        <w:t xml:space="preserve">it </w:t>
      </w:r>
      <w:r w:rsidRPr="00371C8C">
        <w:rPr>
          <w:rFonts w:ascii="Arial" w:hAnsi="Arial" w:cs="Arial"/>
          <w:color w:val="0070C0"/>
        </w:rPr>
        <w:t>is</w:t>
      </w:r>
      <w:r w:rsidRPr="00371C8C">
        <w:rPr>
          <w:rFonts w:ascii="Arial" w:hAnsi="Arial" w:cs="Arial"/>
          <w:color w:val="0070C0"/>
          <w:spacing w:val="4"/>
        </w:rPr>
        <w:t xml:space="preserve"> </w:t>
      </w:r>
      <w:r w:rsidRPr="00371C8C">
        <w:rPr>
          <w:rFonts w:ascii="Arial" w:hAnsi="Arial" w:cs="Arial"/>
          <w:color w:val="0070C0"/>
        </w:rPr>
        <w:t>frequent</w:t>
      </w:r>
    </w:p>
    <w:p w:rsidR="005616B1" w:rsidRPr="00371C8C" w:rsidRDefault="003E2B3A" w:rsidP="00371C8C">
      <w:pPr>
        <w:pStyle w:val="ListParagraph"/>
        <w:numPr>
          <w:ilvl w:val="1"/>
          <w:numId w:val="1"/>
        </w:numPr>
        <w:tabs>
          <w:tab w:val="left" w:pos="450"/>
          <w:tab w:val="left" w:pos="1008"/>
        </w:tabs>
        <w:spacing w:line="276" w:lineRule="auto"/>
        <w:ind w:left="0" w:firstLine="0"/>
        <w:jc w:val="both"/>
        <w:rPr>
          <w:rFonts w:ascii="Arial" w:hAnsi="Arial" w:cs="Arial"/>
          <w:color w:val="0070C0"/>
        </w:rPr>
      </w:pPr>
      <w:r w:rsidRPr="00371C8C">
        <w:rPr>
          <w:rFonts w:ascii="Arial" w:hAnsi="Arial" w:cs="Arial"/>
          <w:color w:val="0070C0"/>
          <w:spacing w:val="-3"/>
        </w:rPr>
        <w:t xml:space="preserve">it </w:t>
      </w:r>
      <w:r w:rsidRPr="00371C8C">
        <w:rPr>
          <w:rFonts w:ascii="Arial" w:hAnsi="Arial" w:cs="Arial"/>
          <w:color w:val="0070C0"/>
        </w:rPr>
        <w:t>is</w:t>
      </w:r>
      <w:r w:rsidRPr="00371C8C">
        <w:rPr>
          <w:rFonts w:ascii="Arial" w:hAnsi="Arial" w:cs="Arial"/>
          <w:color w:val="0070C0"/>
          <w:spacing w:val="1"/>
        </w:rPr>
        <w:t xml:space="preserve"> </w:t>
      </w:r>
      <w:r w:rsidRPr="00371C8C">
        <w:rPr>
          <w:rFonts w:ascii="Arial" w:hAnsi="Arial" w:cs="Arial"/>
          <w:color w:val="0070C0"/>
        </w:rPr>
        <w:t>regular</w:t>
      </w:r>
    </w:p>
    <w:p w:rsidR="005616B1" w:rsidRPr="00371C8C" w:rsidRDefault="003E2B3A" w:rsidP="00371C8C">
      <w:pPr>
        <w:pStyle w:val="ListParagraph"/>
        <w:numPr>
          <w:ilvl w:val="1"/>
          <w:numId w:val="1"/>
        </w:numPr>
        <w:tabs>
          <w:tab w:val="left" w:pos="450"/>
          <w:tab w:val="left" w:pos="1008"/>
        </w:tabs>
        <w:spacing w:line="276" w:lineRule="auto"/>
        <w:ind w:left="0" w:firstLine="0"/>
        <w:jc w:val="both"/>
        <w:rPr>
          <w:rFonts w:ascii="Arial" w:hAnsi="Arial" w:cs="Arial"/>
          <w:color w:val="0070C0"/>
        </w:rPr>
      </w:pPr>
      <w:r w:rsidRPr="00371C8C">
        <w:rPr>
          <w:rFonts w:ascii="Arial" w:hAnsi="Arial" w:cs="Arial"/>
          <w:color w:val="0070C0"/>
          <w:spacing w:val="-3"/>
        </w:rPr>
        <w:t xml:space="preserve">it </w:t>
      </w:r>
      <w:r w:rsidRPr="00371C8C">
        <w:rPr>
          <w:rFonts w:ascii="Arial" w:hAnsi="Arial" w:cs="Arial"/>
          <w:color w:val="0070C0"/>
        </w:rPr>
        <w:t>involves significant amounts of</w:t>
      </w:r>
      <w:r w:rsidRPr="00371C8C">
        <w:rPr>
          <w:rFonts w:ascii="Arial" w:hAnsi="Arial" w:cs="Arial"/>
          <w:color w:val="0070C0"/>
          <w:spacing w:val="-1"/>
        </w:rPr>
        <w:t xml:space="preserve"> </w:t>
      </w:r>
      <w:r w:rsidRPr="00371C8C">
        <w:rPr>
          <w:rFonts w:ascii="Arial" w:hAnsi="Arial" w:cs="Arial"/>
          <w:color w:val="0070C0"/>
        </w:rPr>
        <w:t>money</w:t>
      </w:r>
    </w:p>
    <w:p w:rsidR="00371C8C" w:rsidRPr="00371C8C" w:rsidRDefault="00371C8C" w:rsidP="00371C8C">
      <w:pPr>
        <w:pStyle w:val="ListParagraph"/>
        <w:numPr>
          <w:ilvl w:val="1"/>
          <w:numId w:val="1"/>
        </w:numPr>
        <w:tabs>
          <w:tab w:val="left" w:pos="450"/>
          <w:tab w:val="left" w:pos="1008"/>
        </w:tabs>
        <w:spacing w:line="276" w:lineRule="auto"/>
        <w:ind w:left="0" w:firstLine="0"/>
        <w:jc w:val="both"/>
        <w:rPr>
          <w:rFonts w:ascii="Arial" w:hAnsi="Arial" w:cs="Arial"/>
          <w:color w:val="0070C0"/>
          <w:spacing w:val="-3"/>
        </w:rPr>
      </w:pPr>
      <w:r w:rsidRPr="00371C8C">
        <w:rPr>
          <w:rFonts w:ascii="Arial" w:hAnsi="Arial" w:cs="Arial"/>
          <w:color w:val="0070C0"/>
          <w:spacing w:val="-3"/>
        </w:rPr>
        <w:pict>
          <v:group id="_x0000_s1078" style="position:absolute;left:0;text-align:left;margin-left:24pt;margin-top:24pt;width:547.2pt;height:793.95pt;z-index:-251657216;mso-position-horizontal-relative:page;mso-position-vertical-relative:page" coordorigin="480,480" coordsize="10944,15879">
            <v:rect id="_x0000_s1079" style="position:absolute;left:480;top:480;width:116;height:29" fillcolor="black" stroked="f"/>
            <v:line id="_x0000_s1080" style="position:absolute" from="595,494" to="11309,494" strokeweight="1.44pt"/>
            <v:line id="_x0000_s1081" style="position:absolute" from="595,566" to="11309,566" strokeweight="2.88pt"/>
            <v:rect id="_x0000_s1082" style="position:absolute;left:11308;top:480;width:116;height:29" fillcolor="black" stroked="f"/>
            <v:line id="_x0000_s1083" style="position:absolute" from="494,480" to="494,16243" strokeweight="1.44pt"/>
            <v:line id="_x0000_s1084" style="position:absolute" from="566,538" to="566,16243" strokeweight="2.88pt"/>
            <v:line id="_x0000_s1085" style="position:absolute" from="11410,480" to="11410,16243" strokeweight="1.44pt"/>
            <v:line id="_x0000_s1086" style="position:absolute" from="11338,538" to="11338,16243" strokeweight="2.88pt"/>
            <v:shape id="_x0000_s1087" style="position:absolute;left:480;top:16243;width:116;height:116" coordorigin="480,16243" coordsize="116,116" o:spt="100" adj="0,,0" path="m595,16330r-86,l509,16243r-29,l480,16330r,28l509,16358r86,l595,16330t,-87l538,16243r,58l595,16301r,-58e" fillcolor="black" stroked="f">
              <v:stroke joinstyle="round"/>
              <v:formulas/>
              <v:path arrowok="t" o:connecttype="segments"/>
            </v:shape>
            <v:line id="_x0000_s1088" style="position:absolute" from="595,16344" to="11309,16344" strokeweight="1.44pt"/>
            <v:line id="_x0000_s1089" style="position:absolute" from="595,16272" to="11309,16272" strokeweight="2.88pt"/>
            <v:shape id="_x0000_s1090" style="position:absolute;left:11308;top:16243;width:116;height:116" coordorigin="11309,16243" coordsize="116,116" o:spt="100" adj="0,,0" path="m11366,16243r-57,l11309,16301r57,l11366,16243t58,l11395,16243r,87l11309,16330r,28l11395,16358r29,l11424,16330r,-87e" fillcolor="black" stroked="f">
              <v:stroke joinstyle="round"/>
              <v:formulas/>
              <v:path arrowok="t" o:connecttype="segments"/>
            </v:shape>
            <w10:wrap anchorx="page" anchory="page"/>
          </v:group>
        </w:pict>
      </w:r>
      <w:r w:rsidRPr="00371C8C">
        <w:rPr>
          <w:rFonts w:ascii="Arial" w:hAnsi="Arial" w:cs="Arial"/>
          <w:color w:val="0070C0"/>
          <w:spacing w:val="-3"/>
        </w:rPr>
        <w:t>it is a source of income for your business</w:t>
      </w:r>
    </w:p>
    <w:p w:rsidR="00371C8C" w:rsidRPr="00371C8C" w:rsidRDefault="00371C8C" w:rsidP="00371C8C">
      <w:pPr>
        <w:pStyle w:val="ListParagraph"/>
        <w:numPr>
          <w:ilvl w:val="1"/>
          <w:numId w:val="1"/>
        </w:numPr>
        <w:tabs>
          <w:tab w:val="left" w:pos="450"/>
          <w:tab w:val="left" w:pos="1008"/>
        </w:tabs>
        <w:spacing w:line="276" w:lineRule="auto"/>
        <w:ind w:left="0" w:firstLine="0"/>
        <w:jc w:val="both"/>
        <w:rPr>
          <w:rFonts w:ascii="Arial" w:hAnsi="Arial" w:cs="Arial"/>
          <w:color w:val="0070C0"/>
          <w:spacing w:val="-3"/>
        </w:rPr>
      </w:pPr>
      <w:r w:rsidRPr="00371C8C">
        <w:rPr>
          <w:rFonts w:ascii="Arial" w:hAnsi="Arial" w:cs="Arial"/>
          <w:color w:val="0070C0"/>
          <w:spacing w:val="-3"/>
        </w:rPr>
        <w:t>it involves significant allocation of resources</w:t>
      </w:r>
    </w:p>
    <w:p w:rsidR="00371C8C" w:rsidRPr="00371C8C" w:rsidRDefault="00371C8C" w:rsidP="00371C8C">
      <w:pPr>
        <w:pStyle w:val="ListParagraph"/>
        <w:numPr>
          <w:ilvl w:val="1"/>
          <w:numId w:val="1"/>
        </w:numPr>
        <w:tabs>
          <w:tab w:val="left" w:pos="450"/>
          <w:tab w:val="left" w:pos="1008"/>
        </w:tabs>
        <w:spacing w:line="276" w:lineRule="auto"/>
        <w:ind w:left="0" w:firstLine="0"/>
        <w:jc w:val="both"/>
        <w:rPr>
          <w:rFonts w:ascii="Arial" w:hAnsi="Arial" w:cs="Arial"/>
          <w:color w:val="0070C0"/>
          <w:spacing w:val="-3"/>
        </w:rPr>
      </w:pPr>
      <w:r w:rsidRPr="00371C8C">
        <w:rPr>
          <w:rFonts w:ascii="Arial" w:hAnsi="Arial" w:cs="Arial"/>
          <w:color w:val="0070C0"/>
          <w:spacing w:val="-3"/>
        </w:rPr>
        <w:t>It is involved in a service or product that is offered to customers.</w:t>
      </w:r>
    </w:p>
    <w:p w:rsidR="00371C8C" w:rsidRPr="00371C8C" w:rsidRDefault="00371C8C" w:rsidP="00371C8C">
      <w:pPr>
        <w:pStyle w:val="BodyText"/>
        <w:spacing w:line="276" w:lineRule="auto"/>
        <w:jc w:val="both"/>
        <w:rPr>
          <w:rFonts w:ascii="Arial" w:hAnsi="Arial" w:cs="Arial"/>
          <w:color w:val="0070C0"/>
          <w:sz w:val="22"/>
          <w:szCs w:val="22"/>
        </w:rPr>
      </w:pPr>
    </w:p>
    <w:p w:rsidR="00371C8C" w:rsidRP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b/>
          <w:color w:val="0070C0"/>
          <w:sz w:val="22"/>
          <w:szCs w:val="22"/>
        </w:rPr>
        <w:t xml:space="preserve">“Policy” </w:t>
      </w:r>
      <w:r w:rsidRPr="00371C8C">
        <w:rPr>
          <w:rFonts w:ascii="Arial" w:hAnsi="Arial" w:cs="Arial"/>
          <w:color w:val="0070C0"/>
          <w:sz w:val="22"/>
          <w:szCs w:val="22"/>
        </w:rPr>
        <w:t>means Related Party Transaction Policy.</w:t>
      </w:r>
    </w:p>
    <w:p w:rsidR="00371C8C" w:rsidRPr="00371C8C" w:rsidRDefault="00371C8C" w:rsidP="00371C8C">
      <w:pPr>
        <w:pStyle w:val="BodyText"/>
        <w:spacing w:line="276" w:lineRule="auto"/>
        <w:jc w:val="both"/>
        <w:rPr>
          <w:rFonts w:ascii="Arial" w:hAnsi="Arial" w:cs="Arial"/>
          <w:color w:val="0070C0"/>
          <w:sz w:val="22"/>
          <w:szCs w:val="22"/>
        </w:rPr>
      </w:pPr>
    </w:p>
    <w:p w:rsidR="00371C8C" w:rsidRP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w:t>
      </w:r>
      <w:r w:rsidRPr="00371C8C">
        <w:rPr>
          <w:rFonts w:ascii="Arial" w:hAnsi="Arial" w:cs="Arial"/>
          <w:b/>
          <w:color w:val="0070C0"/>
          <w:sz w:val="22"/>
          <w:szCs w:val="22"/>
        </w:rPr>
        <w:t>Related Party</w:t>
      </w:r>
      <w:r w:rsidRPr="00371C8C">
        <w:rPr>
          <w:rFonts w:ascii="Arial" w:hAnsi="Arial" w:cs="Arial"/>
          <w:color w:val="0070C0"/>
          <w:sz w:val="22"/>
          <w:szCs w:val="22"/>
        </w:rPr>
        <w:t xml:space="preserve">” means related party as defined under Companies Act, 2013 &amp; Provision of the Listing SEBI (LODR) Regulations 2015 </w:t>
      </w:r>
      <w:r w:rsidRPr="00371C8C">
        <w:rPr>
          <w:rFonts w:ascii="Arial" w:hAnsi="Arial" w:cs="Arial"/>
          <w:color w:val="0070C0"/>
          <w:spacing w:val="-3"/>
          <w:sz w:val="22"/>
          <w:szCs w:val="22"/>
        </w:rPr>
        <w:t xml:space="preserve">and </w:t>
      </w:r>
      <w:r w:rsidRPr="00371C8C">
        <w:rPr>
          <w:rFonts w:ascii="Arial" w:hAnsi="Arial" w:cs="Arial"/>
          <w:color w:val="0070C0"/>
          <w:sz w:val="22"/>
          <w:szCs w:val="22"/>
        </w:rPr>
        <w:t xml:space="preserve">in any other law applicable to </w:t>
      </w:r>
      <w:r w:rsidRPr="00371C8C">
        <w:rPr>
          <w:rFonts w:ascii="Arial" w:hAnsi="Arial" w:cs="Arial"/>
          <w:color w:val="0070C0"/>
          <w:spacing w:val="-3"/>
          <w:sz w:val="22"/>
          <w:szCs w:val="22"/>
        </w:rPr>
        <w:t xml:space="preserve">the </w:t>
      </w:r>
      <w:r w:rsidRPr="00371C8C">
        <w:rPr>
          <w:rFonts w:ascii="Arial" w:hAnsi="Arial" w:cs="Arial"/>
          <w:color w:val="0070C0"/>
          <w:sz w:val="22"/>
          <w:szCs w:val="22"/>
        </w:rPr>
        <w:t>Company for time being in</w:t>
      </w:r>
      <w:r w:rsidRPr="00371C8C">
        <w:rPr>
          <w:rFonts w:ascii="Arial" w:hAnsi="Arial" w:cs="Arial"/>
          <w:color w:val="0070C0"/>
          <w:spacing w:val="-12"/>
          <w:sz w:val="22"/>
          <w:szCs w:val="22"/>
        </w:rPr>
        <w:t xml:space="preserve"> </w:t>
      </w:r>
      <w:r w:rsidRPr="00371C8C">
        <w:rPr>
          <w:rFonts w:ascii="Arial" w:hAnsi="Arial" w:cs="Arial"/>
          <w:color w:val="0070C0"/>
          <w:sz w:val="22"/>
          <w:szCs w:val="22"/>
        </w:rPr>
        <w:t>force.</w:t>
      </w:r>
    </w:p>
    <w:p w:rsidR="00371C8C" w:rsidRPr="00371C8C" w:rsidRDefault="00371C8C" w:rsidP="00371C8C">
      <w:pPr>
        <w:pStyle w:val="BodyText"/>
        <w:spacing w:line="276" w:lineRule="auto"/>
        <w:jc w:val="both"/>
        <w:rPr>
          <w:rFonts w:ascii="Arial" w:hAnsi="Arial" w:cs="Arial"/>
          <w:color w:val="0070C0"/>
          <w:sz w:val="22"/>
          <w:szCs w:val="22"/>
        </w:rPr>
      </w:pPr>
    </w:p>
    <w:p w:rsidR="00371C8C" w:rsidRP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w:t>
      </w:r>
      <w:r w:rsidRPr="00371C8C">
        <w:rPr>
          <w:rFonts w:ascii="Arial" w:hAnsi="Arial" w:cs="Arial"/>
          <w:b/>
          <w:color w:val="0070C0"/>
          <w:sz w:val="22"/>
          <w:szCs w:val="22"/>
        </w:rPr>
        <w:t>Related Party Transaction</w:t>
      </w:r>
      <w:r w:rsidRPr="00371C8C">
        <w:rPr>
          <w:rFonts w:ascii="Arial" w:hAnsi="Arial" w:cs="Arial"/>
          <w:color w:val="0070C0"/>
          <w:sz w:val="22"/>
          <w:szCs w:val="22"/>
        </w:rPr>
        <w:t>” means any contract or arrangement or any transaction, directly or indirectly involving any Related Party.</w:t>
      </w:r>
    </w:p>
    <w:p w:rsidR="00371C8C" w:rsidRPr="00371C8C" w:rsidRDefault="00371C8C" w:rsidP="00371C8C">
      <w:pPr>
        <w:pStyle w:val="BodyText"/>
        <w:spacing w:line="276" w:lineRule="auto"/>
        <w:jc w:val="both"/>
        <w:rPr>
          <w:rFonts w:ascii="Arial" w:hAnsi="Arial" w:cs="Arial"/>
          <w:color w:val="0070C0"/>
          <w:sz w:val="22"/>
          <w:szCs w:val="22"/>
        </w:rPr>
      </w:pPr>
    </w:p>
    <w:p w:rsidR="00371C8C" w:rsidRP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b/>
          <w:color w:val="0070C0"/>
          <w:sz w:val="22"/>
          <w:szCs w:val="22"/>
        </w:rPr>
        <w:t xml:space="preserve">“Relative” </w:t>
      </w:r>
      <w:r w:rsidRPr="00371C8C">
        <w:rPr>
          <w:rFonts w:ascii="Arial" w:hAnsi="Arial" w:cs="Arial"/>
          <w:color w:val="0070C0"/>
          <w:sz w:val="22"/>
          <w:szCs w:val="22"/>
        </w:rPr>
        <w:t>means relative as defined under the Companies Act, 2013.</w:t>
      </w:r>
    </w:p>
    <w:p w:rsidR="00371C8C" w:rsidRPr="00371C8C" w:rsidRDefault="00371C8C" w:rsidP="00371C8C">
      <w:pPr>
        <w:pStyle w:val="BodyText"/>
        <w:spacing w:line="276" w:lineRule="auto"/>
        <w:jc w:val="both"/>
        <w:rPr>
          <w:rFonts w:ascii="Arial" w:hAnsi="Arial" w:cs="Arial"/>
          <w:color w:val="0070C0"/>
          <w:sz w:val="22"/>
          <w:szCs w:val="22"/>
        </w:rPr>
      </w:pPr>
    </w:p>
    <w:p w:rsidR="00371C8C" w:rsidRDefault="00371C8C" w:rsidP="00371C8C">
      <w:pPr>
        <w:pStyle w:val="Heading2"/>
        <w:numPr>
          <w:ilvl w:val="0"/>
          <w:numId w:val="2"/>
        </w:numPr>
        <w:tabs>
          <w:tab w:val="left" w:pos="322"/>
        </w:tabs>
        <w:spacing w:line="276" w:lineRule="auto"/>
        <w:ind w:left="0" w:firstLine="0"/>
        <w:jc w:val="both"/>
        <w:rPr>
          <w:rFonts w:ascii="Arial" w:hAnsi="Arial" w:cs="Arial"/>
          <w:color w:val="0070C0"/>
          <w:sz w:val="22"/>
          <w:szCs w:val="22"/>
        </w:rPr>
      </w:pPr>
      <w:r w:rsidRPr="00371C8C">
        <w:rPr>
          <w:rFonts w:ascii="Arial" w:hAnsi="Arial" w:cs="Arial"/>
          <w:color w:val="0070C0"/>
          <w:sz w:val="22"/>
          <w:szCs w:val="22"/>
        </w:rPr>
        <w:t>POLICY</w:t>
      </w:r>
    </w:p>
    <w:p w:rsidR="00371C8C" w:rsidRPr="00371C8C" w:rsidRDefault="00371C8C" w:rsidP="00371C8C">
      <w:pPr>
        <w:pStyle w:val="Heading2"/>
        <w:tabs>
          <w:tab w:val="left" w:pos="322"/>
        </w:tabs>
        <w:spacing w:line="276" w:lineRule="auto"/>
        <w:ind w:left="0"/>
        <w:jc w:val="both"/>
        <w:rPr>
          <w:rFonts w:ascii="Arial" w:hAnsi="Arial" w:cs="Arial"/>
          <w:color w:val="0070C0"/>
          <w:sz w:val="22"/>
          <w:szCs w:val="22"/>
        </w:rPr>
      </w:pPr>
    </w:p>
    <w:p w:rsid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All Related Party Transactions irrespective of amount involved must be reported to the Audit Committee and referred for approval by the Committee in accordance with this Policy.</w:t>
      </w:r>
    </w:p>
    <w:p w:rsidR="00371C8C" w:rsidRPr="00371C8C" w:rsidRDefault="00371C8C" w:rsidP="00371C8C">
      <w:pPr>
        <w:pStyle w:val="BodyText"/>
        <w:spacing w:line="276" w:lineRule="auto"/>
        <w:jc w:val="both"/>
        <w:rPr>
          <w:rFonts w:ascii="Arial" w:hAnsi="Arial" w:cs="Arial"/>
          <w:color w:val="0070C0"/>
          <w:sz w:val="22"/>
          <w:szCs w:val="22"/>
        </w:rPr>
      </w:pPr>
    </w:p>
    <w:p w:rsidR="00371C8C" w:rsidRDefault="00371C8C" w:rsidP="00371C8C">
      <w:pPr>
        <w:pStyle w:val="Heading2"/>
        <w:numPr>
          <w:ilvl w:val="1"/>
          <w:numId w:val="2"/>
        </w:numPr>
        <w:tabs>
          <w:tab w:val="left" w:pos="423"/>
        </w:tabs>
        <w:spacing w:line="276" w:lineRule="auto"/>
        <w:ind w:left="0" w:firstLine="0"/>
        <w:jc w:val="both"/>
        <w:rPr>
          <w:rFonts w:ascii="Arial" w:hAnsi="Arial" w:cs="Arial"/>
          <w:color w:val="0070C0"/>
          <w:sz w:val="22"/>
          <w:szCs w:val="22"/>
        </w:rPr>
      </w:pPr>
      <w:r w:rsidRPr="00371C8C">
        <w:rPr>
          <w:rFonts w:ascii="Arial" w:hAnsi="Arial" w:cs="Arial"/>
          <w:color w:val="0070C0"/>
          <w:sz w:val="22"/>
          <w:szCs w:val="22"/>
        </w:rPr>
        <w:t>Identification of Potential Related Party</w:t>
      </w:r>
      <w:r w:rsidRPr="00371C8C">
        <w:rPr>
          <w:rFonts w:ascii="Arial" w:hAnsi="Arial" w:cs="Arial"/>
          <w:color w:val="0070C0"/>
          <w:spacing w:val="-4"/>
          <w:sz w:val="22"/>
          <w:szCs w:val="22"/>
        </w:rPr>
        <w:t xml:space="preserve"> </w:t>
      </w:r>
      <w:r w:rsidRPr="00371C8C">
        <w:rPr>
          <w:rFonts w:ascii="Arial" w:hAnsi="Arial" w:cs="Arial"/>
          <w:color w:val="0070C0"/>
          <w:sz w:val="22"/>
          <w:szCs w:val="22"/>
        </w:rPr>
        <w:t>Transactions</w:t>
      </w:r>
    </w:p>
    <w:p w:rsidR="00371C8C" w:rsidRPr="00371C8C" w:rsidRDefault="00371C8C" w:rsidP="00371C8C">
      <w:pPr>
        <w:pStyle w:val="Heading2"/>
        <w:tabs>
          <w:tab w:val="left" w:pos="423"/>
        </w:tabs>
        <w:spacing w:line="276" w:lineRule="auto"/>
        <w:ind w:left="0"/>
        <w:jc w:val="both"/>
        <w:rPr>
          <w:rFonts w:ascii="Arial" w:hAnsi="Arial" w:cs="Arial"/>
          <w:color w:val="0070C0"/>
          <w:sz w:val="22"/>
          <w:szCs w:val="22"/>
        </w:rPr>
      </w:pPr>
    </w:p>
    <w:p w:rsid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 xml:space="preserve">Each director, officer </w:t>
      </w:r>
      <w:r w:rsidRPr="00371C8C">
        <w:rPr>
          <w:rFonts w:ascii="Arial" w:hAnsi="Arial" w:cs="Arial"/>
          <w:color w:val="0070C0"/>
          <w:spacing w:val="-3"/>
          <w:sz w:val="22"/>
          <w:szCs w:val="22"/>
        </w:rPr>
        <w:t xml:space="preserve">or </w:t>
      </w:r>
      <w:r w:rsidRPr="00371C8C">
        <w:rPr>
          <w:rFonts w:ascii="Arial" w:hAnsi="Arial" w:cs="Arial"/>
          <w:color w:val="0070C0"/>
          <w:sz w:val="22"/>
          <w:szCs w:val="22"/>
        </w:rPr>
        <w:t xml:space="preserve">Key Managerial Personnel having information </w:t>
      </w:r>
      <w:r w:rsidRPr="00371C8C">
        <w:rPr>
          <w:rFonts w:ascii="Arial" w:hAnsi="Arial" w:cs="Arial"/>
          <w:color w:val="0070C0"/>
          <w:spacing w:val="-3"/>
          <w:sz w:val="22"/>
          <w:szCs w:val="22"/>
        </w:rPr>
        <w:t xml:space="preserve">of </w:t>
      </w:r>
      <w:r w:rsidRPr="00371C8C">
        <w:rPr>
          <w:rFonts w:ascii="Arial" w:hAnsi="Arial" w:cs="Arial"/>
          <w:color w:val="0070C0"/>
          <w:sz w:val="22"/>
          <w:szCs w:val="22"/>
        </w:rPr>
        <w:t xml:space="preserve">such related party transaction (irrespective </w:t>
      </w:r>
      <w:r w:rsidRPr="00371C8C">
        <w:rPr>
          <w:rFonts w:ascii="Arial" w:hAnsi="Arial" w:cs="Arial"/>
          <w:color w:val="0070C0"/>
          <w:spacing w:val="-3"/>
          <w:sz w:val="22"/>
          <w:szCs w:val="22"/>
        </w:rPr>
        <w:t xml:space="preserve">of </w:t>
      </w:r>
      <w:r w:rsidRPr="00371C8C">
        <w:rPr>
          <w:rFonts w:ascii="Arial" w:hAnsi="Arial" w:cs="Arial"/>
          <w:color w:val="0070C0"/>
          <w:sz w:val="22"/>
          <w:szCs w:val="22"/>
        </w:rPr>
        <w:t xml:space="preserve">the same be in ordinary course </w:t>
      </w:r>
      <w:r w:rsidRPr="00371C8C">
        <w:rPr>
          <w:rFonts w:ascii="Arial" w:hAnsi="Arial" w:cs="Arial"/>
          <w:color w:val="0070C0"/>
          <w:spacing w:val="-3"/>
          <w:sz w:val="22"/>
          <w:szCs w:val="22"/>
        </w:rPr>
        <w:t xml:space="preserve">of </w:t>
      </w:r>
      <w:r w:rsidRPr="00371C8C">
        <w:rPr>
          <w:rFonts w:ascii="Arial" w:hAnsi="Arial" w:cs="Arial"/>
          <w:color w:val="0070C0"/>
          <w:sz w:val="22"/>
          <w:szCs w:val="22"/>
        </w:rPr>
        <w:t xml:space="preserve">business) </w:t>
      </w:r>
      <w:r w:rsidRPr="00371C8C">
        <w:rPr>
          <w:rFonts w:ascii="Arial" w:hAnsi="Arial" w:cs="Arial"/>
          <w:color w:val="0070C0"/>
          <w:spacing w:val="-3"/>
          <w:sz w:val="22"/>
          <w:szCs w:val="22"/>
        </w:rPr>
        <w:t xml:space="preserve">is </w:t>
      </w:r>
      <w:r w:rsidRPr="00371C8C">
        <w:rPr>
          <w:rFonts w:ascii="Arial" w:hAnsi="Arial" w:cs="Arial"/>
          <w:color w:val="0070C0"/>
          <w:sz w:val="22"/>
          <w:szCs w:val="22"/>
        </w:rPr>
        <w:t xml:space="preserve">responsible for providing notice to the Board </w:t>
      </w:r>
      <w:r w:rsidRPr="00371C8C">
        <w:rPr>
          <w:rFonts w:ascii="Arial" w:hAnsi="Arial" w:cs="Arial"/>
          <w:color w:val="0070C0"/>
          <w:spacing w:val="-3"/>
          <w:sz w:val="22"/>
          <w:szCs w:val="22"/>
        </w:rPr>
        <w:t xml:space="preserve">or </w:t>
      </w:r>
      <w:r w:rsidRPr="00371C8C">
        <w:rPr>
          <w:rFonts w:ascii="Arial" w:hAnsi="Arial" w:cs="Arial"/>
          <w:color w:val="0070C0"/>
          <w:sz w:val="22"/>
          <w:szCs w:val="22"/>
        </w:rPr>
        <w:t xml:space="preserve">Audit Committee along with copy to Head </w:t>
      </w:r>
      <w:r w:rsidRPr="00371C8C">
        <w:rPr>
          <w:rFonts w:ascii="Arial" w:hAnsi="Arial" w:cs="Arial"/>
          <w:color w:val="0070C0"/>
          <w:spacing w:val="-3"/>
          <w:sz w:val="22"/>
          <w:szCs w:val="22"/>
        </w:rPr>
        <w:t xml:space="preserve">of </w:t>
      </w:r>
      <w:r w:rsidRPr="00371C8C">
        <w:rPr>
          <w:rFonts w:ascii="Arial" w:hAnsi="Arial" w:cs="Arial"/>
          <w:color w:val="0070C0"/>
          <w:sz w:val="22"/>
          <w:szCs w:val="22"/>
        </w:rPr>
        <w:t xml:space="preserve">Accounts Department of any such Related Party Transaction involving him </w:t>
      </w:r>
      <w:r w:rsidRPr="00371C8C">
        <w:rPr>
          <w:rFonts w:ascii="Arial" w:hAnsi="Arial" w:cs="Arial"/>
          <w:color w:val="0070C0"/>
          <w:spacing w:val="-3"/>
          <w:sz w:val="22"/>
          <w:szCs w:val="22"/>
        </w:rPr>
        <w:t xml:space="preserve">or her or </w:t>
      </w:r>
      <w:r w:rsidRPr="00371C8C">
        <w:rPr>
          <w:rFonts w:ascii="Arial" w:hAnsi="Arial" w:cs="Arial"/>
          <w:color w:val="0070C0"/>
          <w:sz w:val="22"/>
          <w:szCs w:val="22"/>
        </w:rPr>
        <w:t xml:space="preserve">his </w:t>
      </w:r>
      <w:r w:rsidRPr="00371C8C">
        <w:rPr>
          <w:rFonts w:ascii="Arial" w:hAnsi="Arial" w:cs="Arial"/>
          <w:color w:val="0070C0"/>
          <w:spacing w:val="-3"/>
          <w:sz w:val="22"/>
          <w:szCs w:val="22"/>
        </w:rPr>
        <w:t xml:space="preserve">or her </w:t>
      </w:r>
      <w:r w:rsidRPr="00371C8C">
        <w:rPr>
          <w:rFonts w:ascii="Arial" w:hAnsi="Arial" w:cs="Arial"/>
          <w:color w:val="0070C0"/>
          <w:sz w:val="22"/>
          <w:szCs w:val="22"/>
        </w:rPr>
        <w:t>Relative, including any additional information about the transaction that the Board/Audit Committee may reasonably</w:t>
      </w:r>
      <w:r w:rsidRPr="00371C8C">
        <w:rPr>
          <w:rFonts w:ascii="Arial" w:hAnsi="Arial" w:cs="Arial"/>
          <w:color w:val="0070C0"/>
          <w:spacing w:val="-24"/>
          <w:sz w:val="22"/>
          <w:szCs w:val="22"/>
        </w:rPr>
        <w:t xml:space="preserve"> </w:t>
      </w:r>
      <w:r w:rsidRPr="00371C8C">
        <w:rPr>
          <w:rFonts w:ascii="Arial" w:hAnsi="Arial" w:cs="Arial"/>
          <w:color w:val="0070C0"/>
          <w:sz w:val="22"/>
          <w:szCs w:val="22"/>
        </w:rPr>
        <w:t>request.</w:t>
      </w:r>
    </w:p>
    <w:p w:rsidR="00371C8C" w:rsidRPr="00371C8C" w:rsidRDefault="00371C8C" w:rsidP="00371C8C">
      <w:pPr>
        <w:pStyle w:val="BodyText"/>
        <w:spacing w:line="276" w:lineRule="auto"/>
        <w:jc w:val="both"/>
        <w:rPr>
          <w:rFonts w:ascii="Arial" w:hAnsi="Arial" w:cs="Arial"/>
          <w:color w:val="0070C0"/>
          <w:sz w:val="22"/>
          <w:szCs w:val="22"/>
        </w:rPr>
      </w:pPr>
    </w:p>
    <w:p w:rsid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 xml:space="preserve">The Accounts Department shall immediately report the said matter to Board/Audit Committee which will determine whether the transaction does, in fact, constitute a Related Party Transaction requiring compliance with this policy and will also determine whether the transactions are on ordinary course of business. It will be the duty </w:t>
      </w:r>
      <w:r w:rsidRPr="00371C8C">
        <w:rPr>
          <w:rFonts w:ascii="Arial" w:hAnsi="Arial" w:cs="Arial"/>
          <w:color w:val="0070C0"/>
          <w:spacing w:val="-3"/>
          <w:sz w:val="22"/>
          <w:szCs w:val="22"/>
        </w:rPr>
        <w:t xml:space="preserve">of </w:t>
      </w:r>
      <w:r w:rsidRPr="00371C8C">
        <w:rPr>
          <w:rFonts w:ascii="Arial" w:hAnsi="Arial" w:cs="Arial"/>
          <w:color w:val="0070C0"/>
          <w:sz w:val="22"/>
          <w:szCs w:val="22"/>
        </w:rPr>
        <w:t xml:space="preserve">accounts department to keep note of transaction of which prior approval of shareholders have been approved u/s 188(1) of Companies Act, 2013 and that such transaction need </w:t>
      </w:r>
      <w:r w:rsidRPr="00371C8C">
        <w:rPr>
          <w:rFonts w:ascii="Arial" w:hAnsi="Arial" w:cs="Arial"/>
          <w:color w:val="0070C0"/>
          <w:spacing w:val="-3"/>
          <w:sz w:val="22"/>
          <w:szCs w:val="22"/>
        </w:rPr>
        <w:t xml:space="preserve">not </w:t>
      </w:r>
      <w:r w:rsidRPr="00371C8C">
        <w:rPr>
          <w:rFonts w:ascii="Arial" w:hAnsi="Arial" w:cs="Arial"/>
          <w:color w:val="0070C0"/>
          <w:sz w:val="22"/>
          <w:szCs w:val="22"/>
        </w:rPr>
        <w:t xml:space="preserve">be reported to Audit Committee / Board for </w:t>
      </w:r>
      <w:r w:rsidRPr="00371C8C">
        <w:rPr>
          <w:rFonts w:ascii="Arial" w:hAnsi="Arial" w:cs="Arial"/>
          <w:color w:val="0070C0"/>
          <w:spacing w:val="-2"/>
          <w:sz w:val="22"/>
          <w:szCs w:val="22"/>
        </w:rPr>
        <w:t xml:space="preserve">its </w:t>
      </w:r>
      <w:r w:rsidRPr="00371C8C">
        <w:rPr>
          <w:rFonts w:ascii="Arial" w:hAnsi="Arial" w:cs="Arial"/>
          <w:color w:val="0070C0"/>
          <w:sz w:val="22"/>
          <w:szCs w:val="22"/>
        </w:rPr>
        <w:t xml:space="preserve">consideration since they are approved by Members by way of Special Resolution. Audit Committee in consultation with Board will prepare a list which is coming under Ordinary Course </w:t>
      </w:r>
      <w:r w:rsidRPr="00371C8C">
        <w:rPr>
          <w:rFonts w:ascii="Arial" w:hAnsi="Arial" w:cs="Arial"/>
          <w:color w:val="0070C0"/>
          <w:spacing w:val="-3"/>
          <w:sz w:val="22"/>
          <w:szCs w:val="22"/>
        </w:rPr>
        <w:t xml:space="preserve">of </w:t>
      </w:r>
      <w:r w:rsidRPr="00371C8C">
        <w:rPr>
          <w:rFonts w:ascii="Arial" w:hAnsi="Arial" w:cs="Arial"/>
          <w:color w:val="0070C0"/>
          <w:sz w:val="22"/>
          <w:szCs w:val="22"/>
        </w:rPr>
        <w:t xml:space="preserve">business and the said transactions will be kept before the Audit Committee and Board meeting for their information </w:t>
      </w:r>
      <w:r w:rsidRPr="00371C8C">
        <w:rPr>
          <w:rFonts w:ascii="Arial" w:hAnsi="Arial" w:cs="Arial"/>
          <w:color w:val="0070C0"/>
          <w:spacing w:val="-3"/>
          <w:sz w:val="22"/>
          <w:szCs w:val="22"/>
        </w:rPr>
        <w:t xml:space="preserve">and </w:t>
      </w:r>
      <w:r w:rsidRPr="00371C8C">
        <w:rPr>
          <w:rFonts w:ascii="Arial" w:hAnsi="Arial" w:cs="Arial"/>
          <w:color w:val="0070C0"/>
          <w:sz w:val="22"/>
          <w:szCs w:val="22"/>
        </w:rPr>
        <w:t xml:space="preserve">knowledge. The Company strongly prefers to receive such notice of </w:t>
      </w:r>
      <w:r w:rsidRPr="00371C8C">
        <w:rPr>
          <w:rFonts w:ascii="Arial" w:hAnsi="Arial" w:cs="Arial"/>
          <w:color w:val="0070C0"/>
          <w:spacing w:val="-3"/>
          <w:sz w:val="22"/>
          <w:szCs w:val="22"/>
        </w:rPr>
        <w:t xml:space="preserve">any </w:t>
      </w:r>
      <w:r w:rsidRPr="00371C8C">
        <w:rPr>
          <w:rFonts w:ascii="Arial" w:hAnsi="Arial" w:cs="Arial"/>
          <w:color w:val="0070C0"/>
          <w:sz w:val="22"/>
          <w:szCs w:val="22"/>
        </w:rPr>
        <w:t xml:space="preserve">Related Party Transaction well in advance so that the Audit Committee/Board </w:t>
      </w:r>
      <w:r w:rsidRPr="00371C8C">
        <w:rPr>
          <w:rFonts w:ascii="Arial" w:hAnsi="Arial" w:cs="Arial"/>
          <w:color w:val="0070C0"/>
          <w:spacing w:val="-3"/>
          <w:sz w:val="22"/>
          <w:szCs w:val="22"/>
        </w:rPr>
        <w:t xml:space="preserve">has </w:t>
      </w:r>
      <w:r w:rsidRPr="00371C8C">
        <w:rPr>
          <w:rFonts w:ascii="Arial" w:hAnsi="Arial" w:cs="Arial"/>
          <w:color w:val="0070C0"/>
          <w:sz w:val="22"/>
          <w:szCs w:val="22"/>
        </w:rPr>
        <w:t>adequate time to obtain and review information about the proposed</w:t>
      </w:r>
      <w:r w:rsidRPr="00371C8C">
        <w:rPr>
          <w:rFonts w:ascii="Arial" w:hAnsi="Arial" w:cs="Arial"/>
          <w:color w:val="0070C0"/>
          <w:spacing w:val="-2"/>
          <w:sz w:val="22"/>
          <w:szCs w:val="22"/>
        </w:rPr>
        <w:t xml:space="preserve"> </w:t>
      </w:r>
      <w:r w:rsidRPr="00371C8C">
        <w:rPr>
          <w:rFonts w:ascii="Arial" w:hAnsi="Arial" w:cs="Arial"/>
          <w:color w:val="0070C0"/>
          <w:sz w:val="22"/>
          <w:szCs w:val="22"/>
        </w:rPr>
        <w:t>transaction.</w:t>
      </w:r>
    </w:p>
    <w:p w:rsidR="00371C8C" w:rsidRPr="00371C8C" w:rsidRDefault="00371C8C" w:rsidP="00371C8C">
      <w:pPr>
        <w:pStyle w:val="BodyText"/>
        <w:spacing w:line="276" w:lineRule="auto"/>
        <w:jc w:val="both"/>
        <w:rPr>
          <w:rFonts w:ascii="Arial" w:hAnsi="Arial" w:cs="Arial"/>
          <w:color w:val="0070C0"/>
          <w:sz w:val="22"/>
          <w:szCs w:val="22"/>
        </w:rPr>
      </w:pPr>
    </w:p>
    <w:p w:rsidR="00371C8C" w:rsidRDefault="00371C8C" w:rsidP="00371C8C">
      <w:pPr>
        <w:pStyle w:val="Heading2"/>
        <w:numPr>
          <w:ilvl w:val="1"/>
          <w:numId w:val="2"/>
        </w:numPr>
        <w:tabs>
          <w:tab w:val="left" w:pos="423"/>
        </w:tabs>
        <w:spacing w:line="276" w:lineRule="auto"/>
        <w:ind w:left="0" w:firstLine="0"/>
        <w:jc w:val="both"/>
        <w:rPr>
          <w:rFonts w:ascii="Arial" w:hAnsi="Arial" w:cs="Arial"/>
          <w:color w:val="0070C0"/>
          <w:sz w:val="22"/>
          <w:szCs w:val="22"/>
        </w:rPr>
      </w:pPr>
      <w:r w:rsidRPr="00371C8C">
        <w:rPr>
          <w:rFonts w:ascii="Arial" w:hAnsi="Arial" w:cs="Arial"/>
          <w:color w:val="0070C0"/>
          <w:sz w:val="22"/>
          <w:szCs w:val="22"/>
        </w:rPr>
        <w:t>Prohibitions related to Related Party</w:t>
      </w:r>
      <w:r w:rsidRPr="00371C8C">
        <w:rPr>
          <w:rFonts w:ascii="Arial" w:hAnsi="Arial" w:cs="Arial"/>
          <w:color w:val="0070C0"/>
          <w:spacing w:val="-2"/>
          <w:sz w:val="22"/>
          <w:szCs w:val="22"/>
        </w:rPr>
        <w:t xml:space="preserve"> </w:t>
      </w:r>
      <w:r w:rsidRPr="00371C8C">
        <w:rPr>
          <w:rFonts w:ascii="Arial" w:hAnsi="Arial" w:cs="Arial"/>
          <w:color w:val="0070C0"/>
          <w:sz w:val="22"/>
          <w:szCs w:val="22"/>
        </w:rPr>
        <w:t>Transactions.</w:t>
      </w:r>
    </w:p>
    <w:p w:rsidR="00371C8C" w:rsidRPr="00371C8C" w:rsidRDefault="00371C8C" w:rsidP="00371C8C">
      <w:pPr>
        <w:pStyle w:val="Heading2"/>
        <w:tabs>
          <w:tab w:val="left" w:pos="423"/>
        </w:tabs>
        <w:spacing w:line="276" w:lineRule="auto"/>
        <w:ind w:left="0"/>
        <w:jc w:val="both"/>
        <w:rPr>
          <w:rFonts w:ascii="Arial" w:hAnsi="Arial" w:cs="Arial"/>
          <w:color w:val="0070C0"/>
          <w:sz w:val="22"/>
          <w:szCs w:val="22"/>
        </w:rPr>
      </w:pPr>
    </w:p>
    <w:p w:rsid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All Related Party Transactions which requires approval of the shareholders shall be obtained through special resolution only and the Related Parties shall abstain from voting on such resolutions.</w:t>
      </w:r>
    </w:p>
    <w:p w:rsidR="00371C8C" w:rsidRPr="00371C8C" w:rsidRDefault="00371C8C" w:rsidP="00371C8C">
      <w:pPr>
        <w:pStyle w:val="BodyText"/>
        <w:spacing w:line="276" w:lineRule="auto"/>
        <w:jc w:val="both"/>
        <w:rPr>
          <w:rFonts w:ascii="Arial" w:hAnsi="Arial" w:cs="Arial"/>
          <w:color w:val="0070C0"/>
          <w:sz w:val="22"/>
          <w:szCs w:val="22"/>
        </w:rPr>
      </w:pPr>
    </w:p>
    <w:p w:rsidR="00371C8C" w:rsidRDefault="00371C8C" w:rsidP="00371C8C">
      <w:pPr>
        <w:pStyle w:val="Heading2"/>
        <w:numPr>
          <w:ilvl w:val="1"/>
          <w:numId w:val="2"/>
        </w:numPr>
        <w:tabs>
          <w:tab w:val="left" w:pos="423"/>
        </w:tabs>
        <w:spacing w:line="276" w:lineRule="auto"/>
        <w:ind w:left="0" w:firstLine="0"/>
        <w:jc w:val="both"/>
        <w:rPr>
          <w:rFonts w:ascii="Arial" w:hAnsi="Arial" w:cs="Arial"/>
          <w:color w:val="0070C0"/>
          <w:sz w:val="22"/>
          <w:szCs w:val="22"/>
        </w:rPr>
      </w:pPr>
      <w:r w:rsidRPr="00371C8C">
        <w:rPr>
          <w:rFonts w:ascii="Arial" w:hAnsi="Arial" w:cs="Arial"/>
          <w:color w:val="0070C0"/>
          <w:sz w:val="22"/>
          <w:szCs w:val="22"/>
        </w:rPr>
        <w:t>Review and Approval of Related Party</w:t>
      </w:r>
      <w:r w:rsidRPr="00371C8C">
        <w:rPr>
          <w:rFonts w:ascii="Arial" w:hAnsi="Arial" w:cs="Arial"/>
          <w:color w:val="0070C0"/>
          <w:spacing w:val="-11"/>
          <w:sz w:val="22"/>
          <w:szCs w:val="22"/>
        </w:rPr>
        <w:t xml:space="preserve"> </w:t>
      </w:r>
      <w:r w:rsidRPr="00371C8C">
        <w:rPr>
          <w:rFonts w:ascii="Arial" w:hAnsi="Arial" w:cs="Arial"/>
          <w:color w:val="0070C0"/>
          <w:sz w:val="22"/>
          <w:szCs w:val="22"/>
        </w:rPr>
        <w:t>Transactions</w:t>
      </w:r>
    </w:p>
    <w:p w:rsidR="00371C8C" w:rsidRPr="00371C8C" w:rsidRDefault="00371C8C" w:rsidP="00371C8C">
      <w:pPr>
        <w:pStyle w:val="Heading2"/>
        <w:tabs>
          <w:tab w:val="left" w:pos="423"/>
        </w:tabs>
        <w:spacing w:line="276" w:lineRule="auto"/>
        <w:ind w:left="0"/>
        <w:jc w:val="both"/>
        <w:rPr>
          <w:rFonts w:ascii="Arial" w:hAnsi="Arial" w:cs="Arial"/>
          <w:color w:val="0070C0"/>
          <w:sz w:val="22"/>
          <w:szCs w:val="22"/>
        </w:rPr>
      </w:pPr>
    </w:p>
    <w:p w:rsidR="00371C8C" w:rsidRP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 xml:space="preserve">Related Party Transactions will be referred to the next regularly scheduled meeting of Audit Committee for review and approval. Any member </w:t>
      </w:r>
      <w:r w:rsidRPr="00371C8C">
        <w:rPr>
          <w:rFonts w:ascii="Arial" w:hAnsi="Arial" w:cs="Arial"/>
          <w:color w:val="0070C0"/>
          <w:spacing w:val="-3"/>
          <w:sz w:val="22"/>
          <w:szCs w:val="22"/>
        </w:rPr>
        <w:t xml:space="preserve">of </w:t>
      </w:r>
      <w:r w:rsidRPr="00371C8C">
        <w:rPr>
          <w:rFonts w:ascii="Arial" w:hAnsi="Arial" w:cs="Arial"/>
          <w:color w:val="0070C0"/>
          <w:sz w:val="22"/>
          <w:szCs w:val="22"/>
        </w:rPr>
        <w:t xml:space="preserve">the Committee who has an interest in any Related Party Transaction/s will restrain himself or </w:t>
      </w:r>
      <w:r w:rsidRPr="00371C8C">
        <w:rPr>
          <w:rFonts w:ascii="Arial" w:hAnsi="Arial" w:cs="Arial"/>
          <w:color w:val="0070C0"/>
          <w:spacing w:val="-3"/>
          <w:sz w:val="22"/>
          <w:szCs w:val="22"/>
        </w:rPr>
        <w:t xml:space="preserve">her </w:t>
      </w:r>
      <w:r w:rsidRPr="00371C8C">
        <w:rPr>
          <w:rFonts w:ascii="Arial" w:hAnsi="Arial" w:cs="Arial"/>
          <w:color w:val="0070C0"/>
          <w:sz w:val="22"/>
          <w:szCs w:val="22"/>
        </w:rPr>
        <w:t xml:space="preserve">and abstain from discussion and voting on the approval of the Related Party Transaction. To review a Related Party Transaction, the Committee will be provided with all relevant material information of the Related Party Transaction, including the terms of the transaction, the business purpose of the transaction, the benefits to the Company and to the Related Party, </w:t>
      </w:r>
      <w:r w:rsidRPr="00371C8C">
        <w:rPr>
          <w:rFonts w:ascii="Arial" w:hAnsi="Arial" w:cs="Arial"/>
          <w:color w:val="0070C0"/>
          <w:spacing w:val="-3"/>
          <w:sz w:val="22"/>
          <w:szCs w:val="22"/>
        </w:rPr>
        <w:t xml:space="preserve">and </w:t>
      </w:r>
      <w:r w:rsidRPr="00371C8C">
        <w:rPr>
          <w:rFonts w:ascii="Arial" w:hAnsi="Arial" w:cs="Arial"/>
          <w:color w:val="0070C0"/>
          <w:sz w:val="22"/>
          <w:szCs w:val="22"/>
        </w:rPr>
        <w:t>any other relevant matters. In determining whether to approve a Related Party Transaction, the Committee will consider the following factors, among others, to the extent relevant to the Related Party</w:t>
      </w:r>
      <w:r w:rsidRPr="00371C8C">
        <w:rPr>
          <w:rFonts w:ascii="Arial" w:hAnsi="Arial" w:cs="Arial"/>
          <w:color w:val="0070C0"/>
          <w:spacing w:val="-6"/>
          <w:sz w:val="22"/>
          <w:szCs w:val="22"/>
        </w:rPr>
        <w:t xml:space="preserve"> </w:t>
      </w:r>
      <w:r w:rsidRPr="00371C8C">
        <w:rPr>
          <w:rFonts w:ascii="Arial" w:hAnsi="Arial" w:cs="Arial"/>
          <w:color w:val="0070C0"/>
          <w:sz w:val="22"/>
          <w:szCs w:val="22"/>
        </w:rPr>
        <w:t>Transaction:</w:t>
      </w:r>
    </w:p>
    <w:p w:rsidR="00371C8C" w:rsidRPr="00371C8C" w:rsidRDefault="00371C8C" w:rsidP="00371C8C">
      <w:pPr>
        <w:pStyle w:val="BodyText"/>
        <w:spacing w:line="276" w:lineRule="auto"/>
        <w:jc w:val="both"/>
        <w:rPr>
          <w:rFonts w:ascii="Arial" w:hAnsi="Arial" w:cs="Arial"/>
          <w:color w:val="0070C0"/>
          <w:sz w:val="22"/>
          <w:szCs w:val="22"/>
        </w:rPr>
      </w:pPr>
    </w:p>
    <w:p w:rsidR="00371C8C" w:rsidRPr="00371C8C" w:rsidRDefault="00371C8C" w:rsidP="00371C8C">
      <w:pPr>
        <w:pStyle w:val="ListParagraph"/>
        <w:numPr>
          <w:ilvl w:val="2"/>
          <w:numId w:val="2"/>
        </w:numPr>
        <w:tabs>
          <w:tab w:val="left" w:pos="841"/>
        </w:tabs>
        <w:spacing w:line="276" w:lineRule="auto"/>
        <w:ind w:left="270" w:hanging="270"/>
        <w:jc w:val="both"/>
        <w:rPr>
          <w:rFonts w:ascii="Arial" w:hAnsi="Arial" w:cs="Arial"/>
          <w:color w:val="0070C0"/>
        </w:rPr>
      </w:pPr>
      <w:r w:rsidRPr="00371C8C">
        <w:rPr>
          <w:rFonts w:ascii="Arial" w:hAnsi="Arial" w:cs="Arial"/>
          <w:color w:val="0070C0"/>
        </w:rPr>
        <w:t xml:space="preserve">Whether the terms of the Related Party Transaction </w:t>
      </w:r>
      <w:r w:rsidRPr="00371C8C">
        <w:rPr>
          <w:rFonts w:ascii="Arial" w:hAnsi="Arial" w:cs="Arial"/>
          <w:color w:val="0070C0"/>
          <w:spacing w:val="-3"/>
        </w:rPr>
        <w:t xml:space="preserve">are </w:t>
      </w:r>
      <w:r w:rsidRPr="00371C8C">
        <w:rPr>
          <w:rFonts w:ascii="Arial" w:hAnsi="Arial" w:cs="Arial"/>
          <w:color w:val="0070C0"/>
        </w:rPr>
        <w:t xml:space="preserve">fair and on arm’s length basis to the Company </w:t>
      </w:r>
      <w:r w:rsidRPr="00371C8C">
        <w:rPr>
          <w:rFonts w:ascii="Arial" w:hAnsi="Arial" w:cs="Arial"/>
          <w:color w:val="0070C0"/>
          <w:spacing w:val="-3"/>
        </w:rPr>
        <w:t xml:space="preserve">and </w:t>
      </w:r>
      <w:r w:rsidRPr="00371C8C">
        <w:rPr>
          <w:rFonts w:ascii="Arial" w:hAnsi="Arial" w:cs="Arial"/>
          <w:color w:val="0070C0"/>
        </w:rPr>
        <w:t>would apply on the same basis if the transaction did not involve a Related Party;</w:t>
      </w:r>
    </w:p>
    <w:p w:rsidR="00371C8C" w:rsidRDefault="00371C8C" w:rsidP="00371C8C">
      <w:pPr>
        <w:spacing w:line="276" w:lineRule="auto"/>
        <w:ind w:left="270" w:hanging="270"/>
        <w:jc w:val="both"/>
        <w:rPr>
          <w:rFonts w:ascii="Arial" w:hAnsi="Arial" w:cs="Arial"/>
          <w:color w:val="0070C0"/>
        </w:rPr>
      </w:pPr>
    </w:p>
    <w:p w:rsidR="00371C8C" w:rsidRPr="00371C8C" w:rsidRDefault="00371C8C" w:rsidP="00371C8C">
      <w:pPr>
        <w:pStyle w:val="ListParagraph"/>
        <w:numPr>
          <w:ilvl w:val="2"/>
          <w:numId w:val="2"/>
        </w:numPr>
        <w:tabs>
          <w:tab w:val="left" w:pos="841"/>
        </w:tabs>
        <w:spacing w:line="276" w:lineRule="auto"/>
        <w:ind w:left="270" w:hanging="270"/>
        <w:jc w:val="both"/>
        <w:rPr>
          <w:rFonts w:ascii="Arial" w:hAnsi="Arial" w:cs="Arial"/>
          <w:color w:val="0070C0"/>
        </w:rPr>
      </w:pPr>
      <w:r w:rsidRPr="00371C8C">
        <w:rPr>
          <w:rFonts w:ascii="Arial" w:hAnsi="Arial" w:cs="Arial"/>
          <w:color w:val="0070C0"/>
        </w:rPr>
        <w:pict>
          <v:group id="_x0000_s1091" style="position:absolute;left:0;text-align:left;margin-left:24pt;margin-top:24pt;width:547.2pt;height:793.95pt;z-index:-251655168;mso-position-horizontal-relative:page;mso-position-vertical-relative:page" coordorigin="480,480" coordsize="10944,15879">
            <v:rect id="_x0000_s1092" style="position:absolute;left:480;top:480;width:116;height:29" fillcolor="black" stroked="f"/>
            <v:line id="_x0000_s1093" style="position:absolute" from="595,494" to="11309,494" strokeweight="1.44pt"/>
            <v:line id="_x0000_s1094" style="position:absolute" from="595,566" to="11309,566" strokeweight="2.88pt"/>
            <v:rect id="_x0000_s1095" style="position:absolute;left:11308;top:480;width:116;height:29" fillcolor="black" stroked="f"/>
            <v:line id="_x0000_s1096" style="position:absolute" from="494,480" to="494,16243" strokeweight="1.44pt"/>
            <v:line id="_x0000_s1097" style="position:absolute" from="566,538" to="566,16243" strokeweight="2.88pt"/>
            <v:line id="_x0000_s1098" style="position:absolute" from="11410,480" to="11410,16243" strokeweight="1.44pt"/>
            <v:line id="_x0000_s1099" style="position:absolute" from="11338,538" to="11338,16243" strokeweight="2.88pt"/>
            <v:shape id="_x0000_s1100" style="position:absolute;left:480;top:16243;width:116;height:116" coordorigin="480,16243" coordsize="116,116" o:spt="100" adj="0,,0" path="m595,16330r-86,l509,16243r-29,l480,16330r,28l509,16358r86,l595,16330t,-87l538,16243r,58l595,16301r,-58e" fillcolor="black" stroked="f">
              <v:stroke joinstyle="round"/>
              <v:formulas/>
              <v:path arrowok="t" o:connecttype="segments"/>
            </v:shape>
            <v:line id="_x0000_s1101" style="position:absolute" from="595,16344" to="11309,16344" strokeweight="1.44pt"/>
            <v:line id="_x0000_s1102" style="position:absolute" from="595,16272" to="11309,16272" strokeweight="2.88pt"/>
            <v:shape id="_x0000_s1103" style="position:absolute;left:11308;top:16243;width:116;height:116" coordorigin="11309,16243" coordsize="116,116" o:spt="100" adj="0,,0" path="m11366,16243r-57,l11309,16301r57,l11366,16243t58,l11395,16243r,87l11309,16330r,28l11395,16358r29,l11424,16330r,-87e" fillcolor="black" stroked="f">
              <v:stroke joinstyle="round"/>
              <v:formulas/>
              <v:path arrowok="t" o:connecttype="segments"/>
            </v:shape>
            <w10:wrap anchorx="page" anchory="page"/>
          </v:group>
        </w:pict>
      </w:r>
      <w:r w:rsidRPr="00371C8C">
        <w:rPr>
          <w:rFonts w:ascii="Arial" w:hAnsi="Arial" w:cs="Arial"/>
          <w:color w:val="0070C0"/>
        </w:rPr>
        <w:t>Whether the transaction are conducted in an ordinary course of business and on arms lengths basis.</w:t>
      </w:r>
    </w:p>
    <w:p w:rsidR="00371C8C" w:rsidRPr="00371C8C" w:rsidRDefault="00371C8C" w:rsidP="00371C8C">
      <w:pPr>
        <w:pStyle w:val="BodyText"/>
        <w:spacing w:line="276" w:lineRule="auto"/>
        <w:ind w:left="270" w:hanging="270"/>
        <w:jc w:val="both"/>
        <w:rPr>
          <w:rFonts w:ascii="Arial" w:hAnsi="Arial" w:cs="Arial"/>
          <w:color w:val="0070C0"/>
          <w:sz w:val="22"/>
          <w:szCs w:val="22"/>
        </w:rPr>
      </w:pPr>
    </w:p>
    <w:p w:rsidR="00371C8C" w:rsidRPr="00371C8C" w:rsidRDefault="00371C8C" w:rsidP="00371C8C">
      <w:pPr>
        <w:pStyle w:val="ListParagraph"/>
        <w:numPr>
          <w:ilvl w:val="2"/>
          <w:numId w:val="2"/>
        </w:numPr>
        <w:tabs>
          <w:tab w:val="left" w:pos="841"/>
        </w:tabs>
        <w:spacing w:line="276" w:lineRule="auto"/>
        <w:ind w:left="270" w:hanging="270"/>
        <w:jc w:val="both"/>
        <w:rPr>
          <w:rFonts w:ascii="Arial" w:hAnsi="Arial" w:cs="Arial"/>
          <w:color w:val="0070C0"/>
        </w:rPr>
      </w:pPr>
      <w:r w:rsidRPr="00371C8C">
        <w:rPr>
          <w:rFonts w:ascii="Arial" w:hAnsi="Arial" w:cs="Arial"/>
          <w:color w:val="0070C0"/>
        </w:rPr>
        <w:t xml:space="preserve">Whether there are any compelling business reasons for the Company to enter into the Related Party Transaction </w:t>
      </w:r>
      <w:r w:rsidRPr="00371C8C">
        <w:rPr>
          <w:rFonts w:ascii="Arial" w:hAnsi="Arial" w:cs="Arial"/>
          <w:color w:val="0070C0"/>
          <w:spacing w:val="-3"/>
        </w:rPr>
        <w:t xml:space="preserve">and </w:t>
      </w:r>
      <w:r w:rsidRPr="00371C8C">
        <w:rPr>
          <w:rFonts w:ascii="Arial" w:hAnsi="Arial" w:cs="Arial"/>
          <w:color w:val="0070C0"/>
        </w:rPr>
        <w:t>the nature of alternative transactions, if</w:t>
      </w:r>
      <w:r w:rsidRPr="00371C8C">
        <w:rPr>
          <w:rFonts w:ascii="Arial" w:hAnsi="Arial" w:cs="Arial"/>
          <w:color w:val="0070C0"/>
          <w:spacing w:val="-7"/>
        </w:rPr>
        <w:t xml:space="preserve"> </w:t>
      </w:r>
      <w:r w:rsidRPr="00371C8C">
        <w:rPr>
          <w:rFonts w:ascii="Arial" w:hAnsi="Arial" w:cs="Arial"/>
          <w:color w:val="0070C0"/>
        </w:rPr>
        <w:t>any;</w:t>
      </w:r>
    </w:p>
    <w:p w:rsidR="00371C8C" w:rsidRPr="00371C8C" w:rsidRDefault="00371C8C" w:rsidP="00371C8C">
      <w:pPr>
        <w:pStyle w:val="BodyText"/>
        <w:spacing w:line="276" w:lineRule="auto"/>
        <w:ind w:left="270" w:hanging="270"/>
        <w:jc w:val="both"/>
        <w:rPr>
          <w:rFonts w:ascii="Arial" w:hAnsi="Arial" w:cs="Arial"/>
          <w:color w:val="0070C0"/>
          <w:sz w:val="22"/>
          <w:szCs w:val="22"/>
        </w:rPr>
      </w:pPr>
    </w:p>
    <w:p w:rsidR="00371C8C" w:rsidRPr="00371C8C" w:rsidRDefault="00371C8C" w:rsidP="00371C8C">
      <w:pPr>
        <w:pStyle w:val="ListParagraph"/>
        <w:numPr>
          <w:ilvl w:val="2"/>
          <w:numId w:val="2"/>
        </w:numPr>
        <w:tabs>
          <w:tab w:val="left" w:pos="841"/>
        </w:tabs>
        <w:spacing w:line="276" w:lineRule="auto"/>
        <w:ind w:left="270" w:hanging="270"/>
        <w:jc w:val="both"/>
        <w:rPr>
          <w:rFonts w:ascii="Arial" w:hAnsi="Arial" w:cs="Arial"/>
          <w:color w:val="0070C0"/>
        </w:rPr>
      </w:pPr>
      <w:r w:rsidRPr="00371C8C">
        <w:rPr>
          <w:rFonts w:ascii="Arial" w:hAnsi="Arial" w:cs="Arial"/>
          <w:color w:val="0070C0"/>
        </w:rPr>
        <w:t>Whether the Related Party Transaction would affect the independence of an independent director;</w:t>
      </w:r>
    </w:p>
    <w:p w:rsidR="00371C8C" w:rsidRPr="00371C8C" w:rsidRDefault="00371C8C" w:rsidP="00371C8C">
      <w:pPr>
        <w:pStyle w:val="BodyText"/>
        <w:spacing w:line="276" w:lineRule="auto"/>
        <w:ind w:left="270" w:hanging="270"/>
        <w:jc w:val="both"/>
        <w:rPr>
          <w:rFonts w:ascii="Arial" w:hAnsi="Arial" w:cs="Arial"/>
          <w:color w:val="0070C0"/>
          <w:sz w:val="22"/>
          <w:szCs w:val="22"/>
        </w:rPr>
      </w:pPr>
    </w:p>
    <w:p w:rsidR="00371C8C" w:rsidRPr="00371C8C" w:rsidRDefault="00371C8C" w:rsidP="00371C8C">
      <w:pPr>
        <w:pStyle w:val="ListParagraph"/>
        <w:numPr>
          <w:ilvl w:val="2"/>
          <w:numId w:val="2"/>
        </w:numPr>
        <w:tabs>
          <w:tab w:val="left" w:pos="841"/>
        </w:tabs>
        <w:spacing w:line="276" w:lineRule="auto"/>
        <w:ind w:left="270" w:hanging="270"/>
        <w:jc w:val="both"/>
        <w:rPr>
          <w:rFonts w:ascii="Arial" w:hAnsi="Arial" w:cs="Arial"/>
          <w:color w:val="0070C0"/>
        </w:rPr>
      </w:pPr>
      <w:r w:rsidRPr="00371C8C">
        <w:rPr>
          <w:rFonts w:ascii="Arial" w:hAnsi="Arial" w:cs="Arial"/>
          <w:color w:val="0070C0"/>
        </w:rPr>
        <w:t xml:space="preserve">Whether the proposed transaction includes any potential reputational risk issues that may arise as a result of </w:t>
      </w:r>
      <w:r w:rsidRPr="00371C8C">
        <w:rPr>
          <w:rFonts w:ascii="Arial" w:hAnsi="Arial" w:cs="Arial"/>
          <w:color w:val="0070C0"/>
          <w:spacing w:val="-3"/>
        </w:rPr>
        <w:t xml:space="preserve">or </w:t>
      </w:r>
      <w:r w:rsidRPr="00371C8C">
        <w:rPr>
          <w:rFonts w:ascii="Arial" w:hAnsi="Arial" w:cs="Arial"/>
          <w:color w:val="0070C0"/>
        </w:rPr>
        <w:t>in connection with the proposed</w:t>
      </w:r>
      <w:r w:rsidRPr="00371C8C">
        <w:rPr>
          <w:rFonts w:ascii="Arial" w:hAnsi="Arial" w:cs="Arial"/>
          <w:color w:val="0070C0"/>
          <w:spacing w:val="-15"/>
        </w:rPr>
        <w:t xml:space="preserve"> </w:t>
      </w:r>
      <w:r w:rsidRPr="00371C8C">
        <w:rPr>
          <w:rFonts w:ascii="Arial" w:hAnsi="Arial" w:cs="Arial"/>
          <w:color w:val="0070C0"/>
        </w:rPr>
        <w:t>transaction;</w:t>
      </w:r>
    </w:p>
    <w:p w:rsidR="00371C8C" w:rsidRPr="00371C8C" w:rsidRDefault="00371C8C" w:rsidP="00371C8C">
      <w:pPr>
        <w:pStyle w:val="BodyText"/>
        <w:spacing w:line="276" w:lineRule="auto"/>
        <w:ind w:left="270" w:hanging="270"/>
        <w:jc w:val="both"/>
        <w:rPr>
          <w:rFonts w:ascii="Arial" w:hAnsi="Arial" w:cs="Arial"/>
          <w:color w:val="0070C0"/>
          <w:sz w:val="22"/>
          <w:szCs w:val="22"/>
        </w:rPr>
      </w:pPr>
    </w:p>
    <w:p w:rsidR="00371C8C" w:rsidRPr="00371C8C" w:rsidRDefault="00371C8C" w:rsidP="00371C8C">
      <w:pPr>
        <w:pStyle w:val="ListParagraph"/>
        <w:numPr>
          <w:ilvl w:val="2"/>
          <w:numId w:val="2"/>
        </w:numPr>
        <w:tabs>
          <w:tab w:val="left" w:pos="841"/>
        </w:tabs>
        <w:spacing w:line="276" w:lineRule="auto"/>
        <w:ind w:left="270" w:hanging="270"/>
        <w:jc w:val="both"/>
        <w:rPr>
          <w:rFonts w:ascii="Arial" w:hAnsi="Arial" w:cs="Arial"/>
          <w:color w:val="0070C0"/>
        </w:rPr>
      </w:pPr>
      <w:r w:rsidRPr="00371C8C">
        <w:rPr>
          <w:rFonts w:ascii="Arial" w:hAnsi="Arial" w:cs="Arial"/>
          <w:color w:val="0070C0"/>
        </w:rPr>
        <w:t xml:space="preserve">Whether the Company was notified about the Related Party Transaction before its commencement and </w:t>
      </w:r>
      <w:r w:rsidRPr="00371C8C">
        <w:rPr>
          <w:rFonts w:ascii="Arial" w:hAnsi="Arial" w:cs="Arial"/>
          <w:color w:val="0070C0"/>
          <w:spacing w:val="-3"/>
        </w:rPr>
        <w:t xml:space="preserve">if </w:t>
      </w:r>
      <w:r w:rsidRPr="00371C8C">
        <w:rPr>
          <w:rFonts w:ascii="Arial" w:hAnsi="Arial" w:cs="Arial"/>
          <w:color w:val="0070C0"/>
        </w:rPr>
        <w:t>not, why pre-approval was not sought and whether subsequent ratification is allowed and would be detrimental to the Company;</w:t>
      </w:r>
      <w:r w:rsidRPr="00371C8C">
        <w:rPr>
          <w:rFonts w:ascii="Arial" w:hAnsi="Arial" w:cs="Arial"/>
          <w:color w:val="0070C0"/>
          <w:spacing w:val="-28"/>
        </w:rPr>
        <w:t xml:space="preserve"> </w:t>
      </w:r>
      <w:r w:rsidRPr="00371C8C">
        <w:rPr>
          <w:rFonts w:ascii="Arial" w:hAnsi="Arial" w:cs="Arial"/>
          <w:color w:val="0070C0"/>
        </w:rPr>
        <w:t>and</w:t>
      </w:r>
    </w:p>
    <w:p w:rsidR="00371C8C" w:rsidRPr="00371C8C" w:rsidRDefault="00371C8C" w:rsidP="00371C8C">
      <w:pPr>
        <w:pStyle w:val="BodyText"/>
        <w:spacing w:line="276" w:lineRule="auto"/>
        <w:ind w:left="270" w:hanging="270"/>
        <w:jc w:val="both"/>
        <w:rPr>
          <w:rFonts w:ascii="Arial" w:hAnsi="Arial" w:cs="Arial"/>
          <w:color w:val="0070C0"/>
          <w:sz w:val="22"/>
          <w:szCs w:val="22"/>
        </w:rPr>
      </w:pPr>
    </w:p>
    <w:p w:rsidR="00371C8C" w:rsidRPr="00371C8C" w:rsidRDefault="00371C8C" w:rsidP="00371C8C">
      <w:pPr>
        <w:pStyle w:val="ListParagraph"/>
        <w:numPr>
          <w:ilvl w:val="2"/>
          <w:numId w:val="2"/>
        </w:numPr>
        <w:tabs>
          <w:tab w:val="left" w:pos="841"/>
        </w:tabs>
        <w:spacing w:line="276" w:lineRule="auto"/>
        <w:ind w:left="270" w:hanging="270"/>
        <w:jc w:val="both"/>
        <w:rPr>
          <w:rFonts w:ascii="Arial" w:hAnsi="Arial" w:cs="Arial"/>
          <w:color w:val="0070C0"/>
        </w:rPr>
      </w:pPr>
      <w:r w:rsidRPr="00371C8C">
        <w:rPr>
          <w:rFonts w:ascii="Arial" w:hAnsi="Arial" w:cs="Arial"/>
          <w:color w:val="0070C0"/>
        </w:rPr>
        <w:t xml:space="preserve">Whether the Related Party Transaction would present an improper conflict of interest for any director </w:t>
      </w:r>
      <w:r w:rsidRPr="00371C8C">
        <w:rPr>
          <w:rFonts w:ascii="Arial" w:hAnsi="Arial" w:cs="Arial"/>
          <w:color w:val="0070C0"/>
          <w:spacing w:val="-3"/>
        </w:rPr>
        <w:t xml:space="preserve">or </w:t>
      </w:r>
      <w:r w:rsidRPr="00371C8C">
        <w:rPr>
          <w:rFonts w:ascii="Arial" w:hAnsi="Arial" w:cs="Arial"/>
          <w:color w:val="0070C0"/>
        </w:rPr>
        <w:t xml:space="preserve">Key Managerial Personnel of the </w:t>
      </w:r>
      <w:r w:rsidRPr="00371C8C">
        <w:rPr>
          <w:rFonts w:ascii="Arial" w:hAnsi="Arial" w:cs="Arial"/>
          <w:color w:val="0070C0"/>
          <w:spacing w:val="-3"/>
        </w:rPr>
        <w:t xml:space="preserve">Company, </w:t>
      </w:r>
      <w:r w:rsidRPr="00371C8C">
        <w:rPr>
          <w:rFonts w:ascii="Arial" w:hAnsi="Arial" w:cs="Arial"/>
          <w:color w:val="0070C0"/>
        </w:rPr>
        <w:t xml:space="preserve">taking into account the size of the transaction, the overall financial position </w:t>
      </w:r>
      <w:r w:rsidRPr="00371C8C">
        <w:rPr>
          <w:rFonts w:ascii="Arial" w:hAnsi="Arial" w:cs="Arial"/>
          <w:color w:val="0070C0"/>
          <w:spacing w:val="-3"/>
        </w:rPr>
        <w:t xml:space="preserve">of </w:t>
      </w:r>
      <w:r w:rsidRPr="00371C8C">
        <w:rPr>
          <w:rFonts w:ascii="Arial" w:hAnsi="Arial" w:cs="Arial"/>
          <w:color w:val="0070C0"/>
        </w:rPr>
        <w:t xml:space="preserve">the director, Executive Officer or other Related Party, the direct </w:t>
      </w:r>
      <w:r w:rsidRPr="00371C8C">
        <w:rPr>
          <w:rFonts w:ascii="Arial" w:hAnsi="Arial" w:cs="Arial"/>
          <w:color w:val="0070C0"/>
          <w:spacing w:val="-3"/>
        </w:rPr>
        <w:t xml:space="preserve">or </w:t>
      </w:r>
      <w:r w:rsidRPr="00371C8C">
        <w:rPr>
          <w:rFonts w:ascii="Arial" w:hAnsi="Arial" w:cs="Arial"/>
          <w:color w:val="0070C0"/>
        </w:rPr>
        <w:t xml:space="preserve">indirect nature of the director’s, Key Managerial Personnel’s </w:t>
      </w:r>
      <w:r w:rsidRPr="00371C8C">
        <w:rPr>
          <w:rFonts w:ascii="Arial" w:hAnsi="Arial" w:cs="Arial"/>
          <w:color w:val="0070C0"/>
          <w:spacing w:val="-3"/>
        </w:rPr>
        <w:t xml:space="preserve">or </w:t>
      </w:r>
      <w:r w:rsidRPr="00371C8C">
        <w:rPr>
          <w:rFonts w:ascii="Arial" w:hAnsi="Arial" w:cs="Arial"/>
          <w:color w:val="0070C0"/>
        </w:rPr>
        <w:t xml:space="preserve">other Related Party’s interest in the transaction </w:t>
      </w:r>
      <w:r w:rsidRPr="00371C8C">
        <w:rPr>
          <w:rFonts w:ascii="Arial" w:hAnsi="Arial" w:cs="Arial"/>
          <w:color w:val="0070C0"/>
          <w:spacing w:val="-3"/>
        </w:rPr>
        <w:t xml:space="preserve">and </w:t>
      </w:r>
      <w:r w:rsidRPr="00371C8C">
        <w:rPr>
          <w:rFonts w:ascii="Arial" w:hAnsi="Arial" w:cs="Arial"/>
          <w:color w:val="0070C0"/>
        </w:rPr>
        <w:t xml:space="preserve">the ongoing nature of any proposed relationship and any other factors the Board/Committee deems relevant. If the Committee determines that a Related Party Transaction should be brought before the Board, or if the Board in any case elects to review any such matter or it is mandatory under any law for Board to approve the Related Party Transaction, then the considerations set forth above shall apply to the Board’s review </w:t>
      </w:r>
      <w:r w:rsidRPr="00371C8C">
        <w:rPr>
          <w:rFonts w:ascii="Arial" w:hAnsi="Arial" w:cs="Arial"/>
          <w:color w:val="0070C0"/>
          <w:spacing w:val="-3"/>
        </w:rPr>
        <w:t xml:space="preserve">and </w:t>
      </w:r>
      <w:r w:rsidRPr="00371C8C">
        <w:rPr>
          <w:rFonts w:ascii="Arial" w:hAnsi="Arial" w:cs="Arial"/>
          <w:color w:val="0070C0"/>
        </w:rPr>
        <w:t xml:space="preserve">approval of the matter, with such modification </w:t>
      </w:r>
      <w:r w:rsidRPr="00371C8C">
        <w:rPr>
          <w:rFonts w:ascii="Arial" w:hAnsi="Arial" w:cs="Arial"/>
          <w:color w:val="0070C0"/>
          <w:spacing w:val="-3"/>
        </w:rPr>
        <w:t xml:space="preserve">as </w:t>
      </w:r>
      <w:r w:rsidRPr="00371C8C">
        <w:rPr>
          <w:rFonts w:ascii="Arial" w:hAnsi="Arial" w:cs="Arial"/>
          <w:color w:val="0070C0"/>
        </w:rPr>
        <w:t>may be necessary or appropriate under the</w:t>
      </w:r>
      <w:r w:rsidRPr="00371C8C">
        <w:rPr>
          <w:rFonts w:ascii="Arial" w:hAnsi="Arial" w:cs="Arial"/>
          <w:color w:val="0070C0"/>
          <w:spacing w:val="-9"/>
        </w:rPr>
        <w:t xml:space="preserve"> </w:t>
      </w:r>
      <w:r w:rsidRPr="00371C8C">
        <w:rPr>
          <w:rFonts w:ascii="Arial" w:hAnsi="Arial" w:cs="Arial"/>
          <w:color w:val="0070C0"/>
        </w:rPr>
        <w:t>circumstances.</w:t>
      </w:r>
    </w:p>
    <w:p w:rsidR="00371C8C" w:rsidRPr="00371C8C" w:rsidRDefault="00371C8C" w:rsidP="00371C8C">
      <w:pPr>
        <w:pStyle w:val="BodyText"/>
        <w:spacing w:line="276" w:lineRule="auto"/>
        <w:jc w:val="both"/>
        <w:rPr>
          <w:rFonts w:ascii="Arial" w:hAnsi="Arial" w:cs="Arial"/>
          <w:color w:val="0070C0"/>
          <w:sz w:val="22"/>
          <w:szCs w:val="22"/>
        </w:rPr>
      </w:pPr>
    </w:p>
    <w:p w:rsidR="00371C8C" w:rsidRPr="00371C8C" w:rsidRDefault="00371C8C" w:rsidP="00371C8C">
      <w:pPr>
        <w:pStyle w:val="Heading2"/>
        <w:numPr>
          <w:ilvl w:val="0"/>
          <w:numId w:val="2"/>
        </w:numPr>
        <w:tabs>
          <w:tab w:val="left" w:pos="375"/>
        </w:tabs>
        <w:spacing w:line="276" w:lineRule="auto"/>
        <w:ind w:left="0" w:firstLine="0"/>
        <w:jc w:val="both"/>
        <w:rPr>
          <w:rFonts w:ascii="Arial" w:hAnsi="Arial" w:cs="Arial"/>
          <w:color w:val="0070C0"/>
          <w:sz w:val="22"/>
          <w:szCs w:val="22"/>
        </w:rPr>
      </w:pPr>
      <w:r w:rsidRPr="00371C8C">
        <w:rPr>
          <w:rFonts w:ascii="Arial" w:hAnsi="Arial" w:cs="Arial"/>
          <w:color w:val="0070C0"/>
          <w:sz w:val="22"/>
          <w:szCs w:val="22"/>
        </w:rPr>
        <w:t>RELATED PARTY TRANSACTIONS NOT APPROVED UNDER THIS</w:t>
      </w:r>
      <w:r w:rsidRPr="00371C8C">
        <w:rPr>
          <w:rFonts w:ascii="Arial" w:hAnsi="Arial" w:cs="Arial"/>
          <w:color w:val="0070C0"/>
          <w:spacing w:val="-19"/>
          <w:sz w:val="22"/>
          <w:szCs w:val="22"/>
        </w:rPr>
        <w:t xml:space="preserve"> </w:t>
      </w:r>
      <w:r w:rsidRPr="00371C8C">
        <w:rPr>
          <w:rFonts w:ascii="Arial" w:hAnsi="Arial" w:cs="Arial"/>
          <w:color w:val="0070C0"/>
          <w:sz w:val="22"/>
          <w:szCs w:val="22"/>
        </w:rPr>
        <w:t>POLICY</w:t>
      </w:r>
    </w:p>
    <w:p w:rsidR="00371C8C" w:rsidRPr="00371C8C" w:rsidRDefault="00371C8C" w:rsidP="00371C8C">
      <w:pPr>
        <w:pStyle w:val="BodyText"/>
        <w:spacing w:line="276" w:lineRule="auto"/>
        <w:jc w:val="both"/>
        <w:rPr>
          <w:rFonts w:ascii="Arial" w:hAnsi="Arial" w:cs="Arial"/>
          <w:b/>
          <w:color w:val="0070C0"/>
          <w:sz w:val="22"/>
          <w:szCs w:val="22"/>
        </w:rPr>
      </w:pPr>
    </w:p>
    <w:p w:rsidR="00371C8C" w:rsidRP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In the event the Company becomes aware of a Related Party Transaction with a Related Party that has not been approved under this Policy prior to its consummation, the matter shall be reviewed by the Committee. The Committee shall consider all of the relevant facts and circumstances regarding the Related Party Transaction, and shall evaluate all options available to the Company, including ratification, revision or termination of the Related Party Transaction. The Committee shall also examine the facts and circumstances pertaining to the failure of reporting such Related Party Transaction to the Committee under this Policy, and shall take any such action it deems appropriate. In any case, where the Committee determines not to ratify a Related Party Transaction that has been commenced without approval, the Committee, as appropriate, may direct additional actions including, but not limited to, immediate discontinuation or rescission of the transaction. In connection with any review of a Related Party Transaction, the Committee has authority to modify or waive any procedural requirements of this Policy.</w:t>
      </w:r>
    </w:p>
    <w:p w:rsidR="00371C8C" w:rsidRPr="00371C8C" w:rsidRDefault="00371C8C" w:rsidP="00371C8C">
      <w:pPr>
        <w:pStyle w:val="BodyText"/>
        <w:spacing w:line="276" w:lineRule="auto"/>
        <w:jc w:val="both"/>
        <w:rPr>
          <w:rFonts w:ascii="Arial" w:hAnsi="Arial" w:cs="Arial"/>
          <w:color w:val="0070C0"/>
          <w:sz w:val="22"/>
          <w:szCs w:val="22"/>
        </w:rPr>
      </w:pPr>
    </w:p>
    <w:p w:rsidR="00371C8C" w:rsidRPr="00371C8C" w:rsidRDefault="00371C8C" w:rsidP="00371C8C">
      <w:pPr>
        <w:pStyle w:val="BodyText"/>
        <w:spacing w:line="276" w:lineRule="auto"/>
        <w:jc w:val="both"/>
        <w:rPr>
          <w:rFonts w:ascii="Arial" w:hAnsi="Arial" w:cs="Arial"/>
          <w:color w:val="0070C0"/>
          <w:sz w:val="22"/>
          <w:szCs w:val="22"/>
        </w:rPr>
      </w:pPr>
      <w:r w:rsidRPr="00371C8C">
        <w:rPr>
          <w:rFonts w:ascii="Arial" w:hAnsi="Arial" w:cs="Arial"/>
          <w:color w:val="0070C0"/>
          <w:sz w:val="22"/>
          <w:szCs w:val="22"/>
        </w:rPr>
        <w:t>This Policy will be communicated to all operational employees and other concerned persons of the Company.</w:t>
      </w:r>
    </w:p>
    <w:p w:rsidR="00371C8C" w:rsidRPr="00371C8C" w:rsidRDefault="00371C8C" w:rsidP="00371C8C">
      <w:pPr>
        <w:pStyle w:val="BodyText"/>
        <w:spacing w:line="276" w:lineRule="auto"/>
        <w:jc w:val="both"/>
        <w:rPr>
          <w:rFonts w:ascii="Arial" w:hAnsi="Arial" w:cs="Arial"/>
          <w:color w:val="0070C0"/>
          <w:sz w:val="22"/>
          <w:szCs w:val="22"/>
        </w:rPr>
      </w:pPr>
    </w:p>
    <w:p w:rsidR="00371C8C" w:rsidRPr="00371C8C" w:rsidRDefault="00371C8C" w:rsidP="00371C8C">
      <w:pPr>
        <w:pStyle w:val="Heading2"/>
        <w:spacing w:line="276" w:lineRule="auto"/>
        <w:ind w:left="0"/>
        <w:jc w:val="both"/>
        <w:rPr>
          <w:rFonts w:ascii="Arial" w:hAnsi="Arial" w:cs="Arial"/>
          <w:color w:val="0070C0"/>
          <w:sz w:val="22"/>
          <w:szCs w:val="22"/>
        </w:rPr>
      </w:pPr>
      <w:r w:rsidRPr="00371C8C">
        <w:rPr>
          <w:rFonts w:ascii="Arial" w:hAnsi="Arial" w:cs="Arial"/>
          <w:color w:val="0070C0"/>
          <w:sz w:val="22"/>
          <w:szCs w:val="22"/>
        </w:rPr>
        <w:t>For Mayuk Dealtrade Limited.</w:t>
      </w:r>
    </w:p>
    <w:p w:rsidR="00371C8C" w:rsidRDefault="00371C8C" w:rsidP="00371C8C">
      <w:pPr>
        <w:pStyle w:val="BodyText"/>
        <w:spacing w:line="276" w:lineRule="auto"/>
        <w:jc w:val="both"/>
        <w:rPr>
          <w:rFonts w:ascii="Arial" w:hAnsi="Arial" w:cs="Arial"/>
          <w:b/>
          <w:color w:val="0070C0"/>
          <w:sz w:val="22"/>
          <w:szCs w:val="22"/>
        </w:rPr>
      </w:pPr>
    </w:p>
    <w:p w:rsidR="00371C8C" w:rsidRDefault="00371C8C" w:rsidP="00371C8C">
      <w:pPr>
        <w:pStyle w:val="BodyText"/>
        <w:spacing w:line="276" w:lineRule="auto"/>
        <w:jc w:val="both"/>
        <w:rPr>
          <w:rFonts w:ascii="Arial" w:hAnsi="Arial" w:cs="Arial"/>
          <w:b/>
          <w:color w:val="0070C0"/>
          <w:sz w:val="22"/>
          <w:szCs w:val="22"/>
        </w:rPr>
      </w:pPr>
    </w:p>
    <w:p w:rsidR="00371C8C" w:rsidRPr="00371C8C" w:rsidRDefault="00371C8C" w:rsidP="00371C8C">
      <w:pPr>
        <w:spacing w:line="276" w:lineRule="auto"/>
        <w:jc w:val="both"/>
        <w:rPr>
          <w:rFonts w:ascii="Arial" w:hAnsi="Arial" w:cs="Arial"/>
          <w:b/>
          <w:color w:val="0070C0"/>
        </w:rPr>
      </w:pPr>
      <w:r w:rsidRPr="00371C8C">
        <w:rPr>
          <w:rFonts w:ascii="Arial" w:hAnsi="Arial" w:cs="Arial"/>
          <w:b/>
          <w:color w:val="0070C0"/>
        </w:rPr>
        <w:t>SD/-</w:t>
      </w:r>
    </w:p>
    <w:p w:rsidR="00904E7C" w:rsidRDefault="00371C8C" w:rsidP="00371C8C">
      <w:pPr>
        <w:spacing w:line="276" w:lineRule="auto"/>
        <w:jc w:val="both"/>
        <w:rPr>
          <w:rFonts w:ascii="Arial" w:hAnsi="Arial" w:cs="Arial"/>
          <w:b/>
          <w:color w:val="0070C0"/>
        </w:rPr>
      </w:pPr>
      <w:r w:rsidRPr="00371C8C">
        <w:rPr>
          <w:rFonts w:ascii="Arial" w:hAnsi="Arial" w:cs="Arial"/>
          <w:b/>
          <w:color w:val="0070C0"/>
        </w:rPr>
        <w:t xml:space="preserve">Ameet Mahesh Bhatt </w:t>
      </w:r>
    </w:p>
    <w:p w:rsidR="00371C8C" w:rsidRPr="00371C8C" w:rsidRDefault="00371C8C" w:rsidP="00371C8C">
      <w:pPr>
        <w:spacing w:line="276" w:lineRule="auto"/>
        <w:jc w:val="both"/>
        <w:rPr>
          <w:rFonts w:ascii="Arial" w:hAnsi="Arial" w:cs="Arial"/>
          <w:b/>
          <w:color w:val="0070C0"/>
        </w:rPr>
      </w:pPr>
      <w:bookmarkStart w:id="0" w:name="_GoBack"/>
      <w:bookmarkEnd w:id="0"/>
      <w:r w:rsidRPr="00371C8C">
        <w:rPr>
          <w:rFonts w:ascii="Arial" w:hAnsi="Arial" w:cs="Arial"/>
          <w:b/>
          <w:color w:val="0070C0"/>
        </w:rPr>
        <w:t>Managing Director</w:t>
      </w:r>
    </w:p>
    <w:p w:rsidR="00371C8C" w:rsidRPr="00371C8C" w:rsidRDefault="00371C8C" w:rsidP="00371C8C">
      <w:pPr>
        <w:spacing w:line="276" w:lineRule="auto"/>
        <w:jc w:val="both"/>
        <w:rPr>
          <w:rFonts w:ascii="Arial" w:hAnsi="Arial" w:cs="Arial"/>
          <w:b/>
          <w:color w:val="0070C0"/>
        </w:rPr>
      </w:pPr>
      <w:r w:rsidRPr="00371C8C">
        <w:rPr>
          <w:rFonts w:ascii="Arial" w:hAnsi="Arial" w:cs="Arial"/>
          <w:b/>
          <w:color w:val="0070C0"/>
        </w:rPr>
        <w:t>DIN: 08080071</w:t>
      </w:r>
    </w:p>
    <w:sectPr w:rsidR="00371C8C" w:rsidRPr="00371C8C" w:rsidSect="00371C8C">
      <w:pgSz w:w="11910" w:h="16840" w:code="9"/>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8C" w:rsidRDefault="00371C8C" w:rsidP="00371C8C">
      <w:r>
        <w:separator/>
      </w:r>
    </w:p>
  </w:endnote>
  <w:endnote w:type="continuationSeparator" w:id="0">
    <w:p w:rsidR="00371C8C" w:rsidRDefault="00371C8C" w:rsidP="0037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8C" w:rsidRDefault="00371C8C" w:rsidP="00371C8C">
      <w:r>
        <w:separator/>
      </w:r>
    </w:p>
  </w:footnote>
  <w:footnote w:type="continuationSeparator" w:id="0">
    <w:p w:rsidR="00371C8C" w:rsidRDefault="00371C8C" w:rsidP="00371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8C" w:rsidRDefault="00371C8C" w:rsidP="00371C8C">
    <w:pPr>
      <w:pStyle w:val="Header"/>
      <w:ind w:left="-720" w:right="-870"/>
      <w:jc w:val="center"/>
      <w:rPr>
        <w:rFonts w:ascii="Berlin Sans FB Demi" w:hAnsi="Berlin Sans FB Demi" w:cs="Arial"/>
        <w:b/>
        <w:color w:val="0070C0"/>
        <w:u w:val="single"/>
      </w:rPr>
    </w:pPr>
    <w:r w:rsidRPr="00371C8C">
      <w:rPr>
        <w:rFonts w:ascii="Berlin Sans FB Demi" w:hAnsi="Berlin Sans FB Demi" w:cs="Arial"/>
        <w:b/>
        <w:color w:val="0070C0"/>
        <w:sz w:val="52"/>
        <w:u w:val="single"/>
      </w:rPr>
      <w:t>RELATED PARTY TRANSACTION POLICY</w:t>
    </w:r>
  </w:p>
  <w:p w:rsidR="00371C8C" w:rsidRPr="00371C8C" w:rsidRDefault="00371C8C" w:rsidP="00371C8C">
    <w:pPr>
      <w:pStyle w:val="Header"/>
      <w:ind w:left="-720" w:right="-870"/>
      <w:jc w:val="center"/>
      <w:rPr>
        <w:rFonts w:ascii="Berlin Sans FB Demi" w:hAnsi="Berlin Sans FB Dem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F7D05"/>
    <w:multiLevelType w:val="hybridMultilevel"/>
    <w:tmpl w:val="E0A6E174"/>
    <w:lvl w:ilvl="0" w:tplc="A40836C4">
      <w:start w:val="1"/>
      <w:numFmt w:val="lowerRoman"/>
      <w:lvlText w:val="(%1)"/>
      <w:lvlJc w:val="left"/>
      <w:pPr>
        <w:ind w:left="120" w:hanging="283"/>
      </w:pPr>
      <w:rPr>
        <w:rFonts w:ascii="Book Antiqua" w:eastAsia="Book Antiqua" w:hAnsi="Book Antiqua" w:cs="Book Antiqua" w:hint="default"/>
        <w:spacing w:val="-2"/>
        <w:w w:val="100"/>
        <w:sz w:val="20"/>
        <w:szCs w:val="20"/>
        <w:lang w:val="en-US" w:eastAsia="en-US" w:bidi="en-US"/>
      </w:rPr>
    </w:lvl>
    <w:lvl w:ilvl="1" w:tplc="6540B480">
      <w:numFmt w:val="bullet"/>
      <w:lvlText w:val="•"/>
      <w:lvlJc w:val="left"/>
      <w:pPr>
        <w:ind w:left="830" w:hanging="202"/>
      </w:pPr>
      <w:rPr>
        <w:rFonts w:ascii="Book Antiqua" w:eastAsia="Book Antiqua" w:hAnsi="Book Antiqua" w:cs="Book Antiqua" w:hint="default"/>
        <w:w w:val="100"/>
        <w:sz w:val="20"/>
        <w:szCs w:val="20"/>
        <w:lang w:val="en-US" w:eastAsia="en-US" w:bidi="en-US"/>
      </w:rPr>
    </w:lvl>
    <w:lvl w:ilvl="2" w:tplc="2716EF5A">
      <w:numFmt w:val="bullet"/>
      <w:lvlText w:val="•"/>
      <w:lvlJc w:val="left"/>
      <w:pPr>
        <w:ind w:left="1776" w:hanging="202"/>
      </w:pPr>
      <w:rPr>
        <w:rFonts w:hint="default"/>
        <w:lang w:val="en-US" w:eastAsia="en-US" w:bidi="en-US"/>
      </w:rPr>
    </w:lvl>
    <w:lvl w:ilvl="3" w:tplc="10A6FF2E">
      <w:numFmt w:val="bullet"/>
      <w:lvlText w:val="•"/>
      <w:lvlJc w:val="left"/>
      <w:pPr>
        <w:ind w:left="2712" w:hanging="202"/>
      </w:pPr>
      <w:rPr>
        <w:rFonts w:hint="default"/>
        <w:lang w:val="en-US" w:eastAsia="en-US" w:bidi="en-US"/>
      </w:rPr>
    </w:lvl>
    <w:lvl w:ilvl="4" w:tplc="35FA034A">
      <w:numFmt w:val="bullet"/>
      <w:lvlText w:val="•"/>
      <w:lvlJc w:val="left"/>
      <w:pPr>
        <w:ind w:left="3648" w:hanging="202"/>
      </w:pPr>
      <w:rPr>
        <w:rFonts w:hint="default"/>
        <w:lang w:val="en-US" w:eastAsia="en-US" w:bidi="en-US"/>
      </w:rPr>
    </w:lvl>
    <w:lvl w:ilvl="5" w:tplc="9B823B24">
      <w:numFmt w:val="bullet"/>
      <w:lvlText w:val="•"/>
      <w:lvlJc w:val="left"/>
      <w:pPr>
        <w:ind w:left="4584" w:hanging="202"/>
      </w:pPr>
      <w:rPr>
        <w:rFonts w:hint="default"/>
        <w:lang w:val="en-US" w:eastAsia="en-US" w:bidi="en-US"/>
      </w:rPr>
    </w:lvl>
    <w:lvl w:ilvl="6" w:tplc="1E98159E">
      <w:numFmt w:val="bullet"/>
      <w:lvlText w:val="•"/>
      <w:lvlJc w:val="left"/>
      <w:pPr>
        <w:ind w:left="5520" w:hanging="202"/>
      </w:pPr>
      <w:rPr>
        <w:rFonts w:hint="default"/>
        <w:lang w:val="en-US" w:eastAsia="en-US" w:bidi="en-US"/>
      </w:rPr>
    </w:lvl>
    <w:lvl w:ilvl="7" w:tplc="BAA026E8">
      <w:numFmt w:val="bullet"/>
      <w:lvlText w:val="•"/>
      <w:lvlJc w:val="left"/>
      <w:pPr>
        <w:ind w:left="6456" w:hanging="202"/>
      </w:pPr>
      <w:rPr>
        <w:rFonts w:hint="default"/>
        <w:lang w:val="en-US" w:eastAsia="en-US" w:bidi="en-US"/>
      </w:rPr>
    </w:lvl>
    <w:lvl w:ilvl="8" w:tplc="FA6EE0E8">
      <w:numFmt w:val="bullet"/>
      <w:lvlText w:val="•"/>
      <w:lvlJc w:val="left"/>
      <w:pPr>
        <w:ind w:left="7392" w:hanging="202"/>
      </w:pPr>
      <w:rPr>
        <w:rFonts w:hint="default"/>
        <w:lang w:val="en-US" w:eastAsia="en-US" w:bidi="en-US"/>
      </w:rPr>
    </w:lvl>
  </w:abstractNum>
  <w:abstractNum w:abstractNumId="1">
    <w:nsid w:val="6893275B"/>
    <w:multiLevelType w:val="multilevel"/>
    <w:tmpl w:val="EA069536"/>
    <w:lvl w:ilvl="0">
      <w:start w:val="1"/>
      <w:numFmt w:val="decimal"/>
      <w:lvlText w:val="%1."/>
      <w:lvlJc w:val="left"/>
      <w:pPr>
        <w:ind w:left="321" w:hanging="202"/>
      </w:pPr>
      <w:rPr>
        <w:rFonts w:hint="default"/>
        <w:b/>
        <w:bCs/>
        <w:w w:val="100"/>
        <w:lang w:val="en-US" w:eastAsia="en-US" w:bidi="en-US"/>
      </w:rPr>
    </w:lvl>
    <w:lvl w:ilvl="1">
      <w:start w:val="1"/>
      <w:numFmt w:val="decimal"/>
      <w:lvlText w:val="%1.%2"/>
      <w:lvlJc w:val="left"/>
      <w:pPr>
        <w:ind w:left="422" w:hanging="303"/>
      </w:pPr>
      <w:rPr>
        <w:rFonts w:ascii="Berlin Sans FB Demi" w:eastAsia="Book Antiqua" w:hAnsi="Berlin Sans FB Demi" w:cs="Book Antiqua" w:hint="default"/>
        <w:b/>
        <w:bCs/>
        <w:w w:val="100"/>
        <w:sz w:val="22"/>
        <w:szCs w:val="20"/>
        <w:lang w:val="en-US" w:eastAsia="en-US" w:bidi="en-US"/>
      </w:rPr>
    </w:lvl>
    <w:lvl w:ilvl="2">
      <w:start w:val="1"/>
      <w:numFmt w:val="decimal"/>
      <w:lvlText w:val="%3."/>
      <w:lvlJc w:val="left"/>
      <w:pPr>
        <w:ind w:left="840" w:hanging="361"/>
      </w:pPr>
      <w:rPr>
        <w:rFonts w:ascii="Book Antiqua" w:eastAsia="Book Antiqua" w:hAnsi="Book Antiqua" w:cs="Book Antiqua" w:hint="default"/>
        <w:w w:val="100"/>
        <w:sz w:val="20"/>
        <w:szCs w:val="20"/>
        <w:lang w:val="en-US" w:eastAsia="en-US" w:bidi="en-US"/>
      </w:rPr>
    </w:lvl>
    <w:lvl w:ilvl="3">
      <w:numFmt w:val="bullet"/>
      <w:lvlText w:val="•"/>
      <w:lvlJc w:val="left"/>
      <w:pPr>
        <w:ind w:left="1893" w:hanging="361"/>
      </w:pPr>
      <w:rPr>
        <w:rFonts w:hint="default"/>
        <w:lang w:val="en-US" w:eastAsia="en-US" w:bidi="en-US"/>
      </w:rPr>
    </w:lvl>
    <w:lvl w:ilvl="4">
      <w:numFmt w:val="bullet"/>
      <w:lvlText w:val="•"/>
      <w:lvlJc w:val="left"/>
      <w:pPr>
        <w:ind w:left="2946" w:hanging="361"/>
      </w:pPr>
      <w:rPr>
        <w:rFonts w:hint="default"/>
        <w:lang w:val="en-US" w:eastAsia="en-US" w:bidi="en-US"/>
      </w:rPr>
    </w:lvl>
    <w:lvl w:ilvl="5">
      <w:numFmt w:val="bullet"/>
      <w:lvlText w:val="•"/>
      <w:lvlJc w:val="left"/>
      <w:pPr>
        <w:ind w:left="3999" w:hanging="361"/>
      </w:pPr>
      <w:rPr>
        <w:rFonts w:hint="default"/>
        <w:lang w:val="en-US" w:eastAsia="en-US" w:bidi="en-US"/>
      </w:rPr>
    </w:lvl>
    <w:lvl w:ilvl="6">
      <w:numFmt w:val="bullet"/>
      <w:lvlText w:val="•"/>
      <w:lvlJc w:val="left"/>
      <w:pPr>
        <w:ind w:left="5052" w:hanging="361"/>
      </w:pPr>
      <w:rPr>
        <w:rFonts w:hint="default"/>
        <w:lang w:val="en-US" w:eastAsia="en-US" w:bidi="en-US"/>
      </w:rPr>
    </w:lvl>
    <w:lvl w:ilvl="7">
      <w:numFmt w:val="bullet"/>
      <w:lvlText w:val="•"/>
      <w:lvlJc w:val="left"/>
      <w:pPr>
        <w:ind w:left="6105" w:hanging="361"/>
      </w:pPr>
      <w:rPr>
        <w:rFonts w:hint="default"/>
        <w:lang w:val="en-US" w:eastAsia="en-US" w:bidi="en-US"/>
      </w:rPr>
    </w:lvl>
    <w:lvl w:ilvl="8">
      <w:numFmt w:val="bullet"/>
      <w:lvlText w:val="•"/>
      <w:lvlJc w:val="left"/>
      <w:pPr>
        <w:ind w:left="7158"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616B1"/>
    <w:rsid w:val="00320333"/>
    <w:rsid w:val="00371C8C"/>
    <w:rsid w:val="003E2B3A"/>
    <w:rsid w:val="004545F1"/>
    <w:rsid w:val="005616B1"/>
    <w:rsid w:val="005A1F0C"/>
    <w:rsid w:val="00756C7B"/>
    <w:rsid w:val="00904E7C"/>
    <w:rsid w:val="00A20455"/>
    <w:rsid w:val="00AB710E"/>
    <w:rsid w:val="00CA51F8"/>
    <w:rsid w:val="00CE2DDA"/>
    <w:rsid w:val="00DD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colormenu v:ext="edit" fillcolor="none [3214]"/>
    </o:shapedefaults>
    <o:shapelayout v:ext="edit">
      <o:idmap v:ext="edit" data="1"/>
    </o:shapelayout>
  </w:shapeDefaults>
  <w:decimalSymbol w:val="."/>
  <w:listSeparator w:val=","/>
  <w15:docId w15:val="{9291B67A-33A2-4682-845C-BB6CE37F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16B1"/>
    <w:rPr>
      <w:rFonts w:ascii="Book Antiqua" w:eastAsia="Book Antiqua" w:hAnsi="Book Antiqua" w:cs="Book Antiqua"/>
      <w:lang w:bidi="en-US"/>
    </w:rPr>
  </w:style>
  <w:style w:type="paragraph" w:styleId="Heading1">
    <w:name w:val="heading 1"/>
    <w:basedOn w:val="Normal"/>
    <w:uiPriority w:val="1"/>
    <w:qFormat/>
    <w:rsid w:val="005616B1"/>
    <w:pPr>
      <w:ind w:left="408" w:right="408" w:hanging="5"/>
      <w:jc w:val="center"/>
      <w:outlineLvl w:val="0"/>
    </w:pPr>
    <w:rPr>
      <w:b/>
      <w:bCs/>
      <w:sz w:val="48"/>
      <w:szCs w:val="48"/>
    </w:rPr>
  </w:style>
  <w:style w:type="paragraph" w:styleId="Heading2">
    <w:name w:val="heading 2"/>
    <w:basedOn w:val="Normal"/>
    <w:uiPriority w:val="1"/>
    <w:qFormat/>
    <w:rsid w:val="005616B1"/>
    <w:pPr>
      <w:ind w:left="3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16B1"/>
    <w:rPr>
      <w:sz w:val="20"/>
      <w:szCs w:val="20"/>
    </w:rPr>
  </w:style>
  <w:style w:type="paragraph" w:styleId="ListParagraph">
    <w:name w:val="List Paragraph"/>
    <w:basedOn w:val="Normal"/>
    <w:uiPriority w:val="1"/>
    <w:qFormat/>
    <w:rsid w:val="005616B1"/>
    <w:pPr>
      <w:ind w:left="840" w:hanging="361"/>
    </w:pPr>
  </w:style>
  <w:style w:type="paragraph" w:customStyle="1" w:styleId="TableParagraph">
    <w:name w:val="Table Paragraph"/>
    <w:basedOn w:val="Normal"/>
    <w:uiPriority w:val="1"/>
    <w:qFormat/>
    <w:rsid w:val="005616B1"/>
  </w:style>
  <w:style w:type="paragraph" w:styleId="Header">
    <w:name w:val="header"/>
    <w:basedOn w:val="Normal"/>
    <w:link w:val="HeaderChar"/>
    <w:uiPriority w:val="99"/>
    <w:unhideWhenUsed/>
    <w:rsid w:val="00371C8C"/>
    <w:pPr>
      <w:tabs>
        <w:tab w:val="center" w:pos="4680"/>
        <w:tab w:val="right" w:pos="9360"/>
      </w:tabs>
    </w:pPr>
  </w:style>
  <w:style w:type="character" w:customStyle="1" w:styleId="HeaderChar">
    <w:name w:val="Header Char"/>
    <w:basedOn w:val="DefaultParagraphFont"/>
    <w:link w:val="Header"/>
    <w:uiPriority w:val="99"/>
    <w:rsid w:val="00371C8C"/>
    <w:rPr>
      <w:rFonts w:ascii="Book Antiqua" w:eastAsia="Book Antiqua" w:hAnsi="Book Antiqua" w:cs="Book Antiqua"/>
      <w:lang w:bidi="en-US"/>
    </w:rPr>
  </w:style>
  <w:style w:type="paragraph" w:styleId="Footer">
    <w:name w:val="footer"/>
    <w:basedOn w:val="Normal"/>
    <w:link w:val="FooterChar"/>
    <w:uiPriority w:val="99"/>
    <w:unhideWhenUsed/>
    <w:rsid w:val="00371C8C"/>
    <w:pPr>
      <w:tabs>
        <w:tab w:val="center" w:pos="4680"/>
        <w:tab w:val="right" w:pos="9360"/>
      </w:tabs>
    </w:pPr>
  </w:style>
  <w:style w:type="character" w:customStyle="1" w:styleId="FooterChar">
    <w:name w:val="Footer Char"/>
    <w:basedOn w:val="DefaultParagraphFont"/>
    <w:link w:val="Footer"/>
    <w:uiPriority w:val="99"/>
    <w:rsid w:val="00371C8C"/>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7157">
      <w:bodyDiv w:val="1"/>
      <w:marLeft w:val="0"/>
      <w:marRight w:val="0"/>
      <w:marTop w:val="0"/>
      <w:marBottom w:val="0"/>
      <w:divBdr>
        <w:top w:val="none" w:sz="0" w:space="0" w:color="auto"/>
        <w:left w:val="none" w:sz="0" w:space="0" w:color="auto"/>
        <w:bottom w:val="none" w:sz="0" w:space="0" w:color="auto"/>
        <w:right w:val="none" w:sz="0" w:space="0" w:color="auto"/>
      </w:divBdr>
    </w:div>
    <w:div w:id="1161509149">
      <w:bodyDiv w:val="1"/>
      <w:marLeft w:val="0"/>
      <w:marRight w:val="0"/>
      <w:marTop w:val="0"/>
      <w:marBottom w:val="0"/>
      <w:divBdr>
        <w:top w:val="none" w:sz="0" w:space="0" w:color="auto"/>
        <w:left w:val="none" w:sz="0" w:space="0" w:color="auto"/>
        <w:bottom w:val="none" w:sz="0" w:space="0" w:color="auto"/>
        <w:right w:val="none" w:sz="0" w:space="0" w:color="auto"/>
      </w:divBdr>
    </w:div>
    <w:div w:id="155472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30</cp:revision>
  <dcterms:created xsi:type="dcterms:W3CDTF">2019-02-28T11:33:00Z</dcterms:created>
  <dcterms:modified xsi:type="dcterms:W3CDTF">2019-03-18T13:41:00Z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2019-02-28T00:00:00Z</vt:filetime>
  </property>
</Properties>
</file>